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ACBC8" w14:textId="77777777" w:rsidR="008256AD" w:rsidRDefault="008256AD">
      <w:pPr>
        <w:pStyle w:val="Heading1"/>
        <w:numPr>
          <w:ilvl w:val="0"/>
          <w:numId w:val="0"/>
        </w:numPr>
      </w:pPr>
    </w:p>
    <w:p w14:paraId="2CB86F68" w14:textId="77777777" w:rsidR="008256AD" w:rsidRDefault="008256AD"/>
    <w:p w14:paraId="3A96A1A7" w14:textId="77777777" w:rsidR="008256AD" w:rsidRDefault="008256AD"/>
    <w:p w14:paraId="3FC45856" w14:textId="77777777" w:rsidR="008256AD" w:rsidRDefault="008256AD"/>
    <w:p w14:paraId="6A7DBED2" w14:textId="77777777" w:rsidR="008256AD" w:rsidRDefault="008256AD">
      <w:pPr>
        <w:rPr>
          <w:sz w:val="48"/>
        </w:rPr>
      </w:pPr>
    </w:p>
    <w:p w14:paraId="750E677C" w14:textId="77777777" w:rsidR="008256AD" w:rsidRDefault="008256AD">
      <w:pPr>
        <w:pStyle w:val="Title"/>
        <w:rPr>
          <w:sz w:val="48"/>
        </w:rPr>
      </w:pPr>
      <w:r>
        <w:rPr>
          <w:sz w:val="48"/>
        </w:rPr>
        <w:t>Surrey County Council</w:t>
      </w:r>
    </w:p>
    <w:p w14:paraId="44A50126" w14:textId="77777777" w:rsidR="008256AD" w:rsidRDefault="008256AD">
      <w:pPr>
        <w:rPr>
          <w:sz w:val="48"/>
        </w:rPr>
      </w:pPr>
    </w:p>
    <w:p w14:paraId="0929E773" w14:textId="77777777" w:rsidR="008256AD" w:rsidRDefault="008256AD">
      <w:pPr>
        <w:jc w:val="center"/>
        <w:rPr>
          <w:sz w:val="48"/>
        </w:rPr>
      </w:pPr>
    </w:p>
    <w:p w14:paraId="27A0D5AF" w14:textId="77777777" w:rsidR="008256AD" w:rsidRDefault="008256AD">
      <w:pPr>
        <w:pStyle w:val="Title"/>
        <w:rPr>
          <w:sz w:val="48"/>
        </w:rPr>
      </w:pPr>
      <w:r>
        <w:rPr>
          <w:sz w:val="48"/>
        </w:rPr>
        <w:t>Electoral Review of Surrey County Council</w:t>
      </w:r>
    </w:p>
    <w:p w14:paraId="6032692C" w14:textId="77777777" w:rsidR="008256AD" w:rsidRDefault="008256AD">
      <w:pPr>
        <w:pStyle w:val="Heading1"/>
        <w:numPr>
          <w:ilvl w:val="0"/>
          <w:numId w:val="0"/>
        </w:numPr>
        <w:rPr>
          <w:sz w:val="48"/>
        </w:rPr>
      </w:pPr>
    </w:p>
    <w:p w14:paraId="08F9AB95" w14:textId="77777777" w:rsidR="008256AD" w:rsidRDefault="008256AD">
      <w:pPr>
        <w:rPr>
          <w:sz w:val="48"/>
        </w:rPr>
      </w:pPr>
    </w:p>
    <w:p w14:paraId="6D382A80" w14:textId="77777777" w:rsidR="008256AD" w:rsidRDefault="008256AD">
      <w:pPr>
        <w:pStyle w:val="BodyText"/>
        <w:rPr>
          <w:sz w:val="48"/>
        </w:rPr>
      </w:pPr>
      <w:r>
        <w:rPr>
          <w:sz w:val="48"/>
        </w:rPr>
        <w:t>Response to the Local Government Boundary Commission for England</w:t>
      </w:r>
    </w:p>
    <w:p w14:paraId="1EC35342" w14:textId="77777777" w:rsidR="008256AD" w:rsidRDefault="008256AD">
      <w:pPr>
        <w:jc w:val="center"/>
        <w:rPr>
          <w:sz w:val="48"/>
        </w:rPr>
      </w:pPr>
    </w:p>
    <w:p w14:paraId="465DCE0A" w14:textId="77777777" w:rsidR="008256AD" w:rsidRDefault="008256AD">
      <w:pPr>
        <w:jc w:val="center"/>
        <w:rPr>
          <w:sz w:val="48"/>
        </w:rPr>
      </w:pPr>
    </w:p>
    <w:p w14:paraId="17B61EEA" w14:textId="77777777" w:rsidR="008256AD" w:rsidRDefault="008256AD">
      <w:pPr>
        <w:jc w:val="center"/>
        <w:rPr>
          <w:sz w:val="48"/>
        </w:rPr>
      </w:pPr>
    </w:p>
    <w:p w14:paraId="40CCC336" w14:textId="77777777" w:rsidR="008256AD" w:rsidRDefault="00B65632" w:rsidP="00B65632">
      <w:pPr>
        <w:pStyle w:val="BodyText2"/>
        <w:jc w:val="center"/>
        <w:rPr>
          <w:sz w:val="48"/>
        </w:rPr>
      </w:pPr>
      <w:r>
        <w:rPr>
          <w:sz w:val="48"/>
        </w:rPr>
        <w:t>May 2023</w:t>
      </w:r>
    </w:p>
    <w:p w14:paraId="0A69BE0B" w14:textId="77777777" w:rsidR="008256AD" w:rsidRDefault="008256AD">
      <w:pPr>
        <w:pStyle w:val="BodyText2"/>
      </w:pPr>
    </w:p>
    <w:p w14:paraId="15AC7428" w14:textId="77777777" w:rsidR="008256AD" w:rsidRDefault="008256AD">
      <w:pPr>
        <w:pStyle w:val="BodyText2"/>
      </w:pPr>
    </w:p>
    <w:p w14:paraId="13F0D2F0" w14:textId="77777777" w:rsidR="008256AD" w:rsidRDefault="008256AD">
      <w:pPr>
        <w:pStyle w:val="BodyText2"/>
      </w:pPr>
    </w:p>
    <w:p w14:paraId="18D901B4" w14:textId="77777777" w:rsidR="008256AD" w:rsidRDefault="008256AD">
      <w:pPr>
        <w:pStyle w:val="BodyText2"/>
      </w:pPr>
    </w:p>
    <w:p w14:paraId="582318ED" w14:textId="77777777" w:rsidR="008256AD" w:rsidRDefault="008256AD">
      <w:pPr>
        <w:pStyle w:val="BodyText2"/>
      </w:pPr>
    </w:p>
    <w:p w14:paraId="55802153" w14:textId="77777777" w:rsidR="008256AD" w:rsidRDefault="008256AD">
      <w:pPr>
        <w:pStyle w:val="BodyText2"/>
      </w:pPr>
    </w:p>
    <w:p w14:paraId="2F8B5634" w14:textId="77777777" w:rsidR="008256AD" w:rsidRDefault="008256AD">
      <w:pPr>
        <w:pStyle w:val="BodyText2"/>
      </w:pPr>
    </w:p>
    <w:p w14:paraId="0F76D5B2" w14:textId="77777777" w:rsidR="008256AD" w:rsidRDefault="008256AD">
      <w:pPr>
        <w:pStyle w:val="BodyText2"/>
      </w:pPr>
    </w:p>
    <w:p w14:paraId="5CF0C81B" w14:textId="77777777" w:rsidR="008256AD" w:rsidRDefault="008256AD">
      <w:pPr>
        <w:pStyle w:val="BodyText2"/>
      </w:pPr>
    </w:p>
    <w:p w14:paraId="1C39A7BA" w14:textId="77777777" w:rsidR="008256AD" w:rsidRDefault="008256AD"/>
    <w:p w14:paraId="6AE43DF8" w14:textId="77777777" w:rsidR="008256AD" w:rsidRDefault="008256AD"/>
    <w:p w14:paraId="512A4429" w14:textId="77777777" w:rsidR="008256AD" w:rsidRDefault="008256AD"/>
    <w:p w14:paraId="5D85B67A" w14:textId="77777777" w:rsidR="008256AD" w:rsidRDefault="008256AD"/>
    <w:p w14:paraId="6DB66180" w14:textId="77777777" w:rsidR="008256AD" w:rsidRDefault="008256AD">
      <w:r>
        <w:br w:type="page"/>
      </w:r>
    </w:p>
    <w:p w14:paraId="08C75D05" w14:textId="77777777" w:rsidR="008256AD" w:rsidRDefault="008256AD">
      <w:pPr>
        <w:pStyle w:val="Heading1"/>
        <w:spacing w:before="0" w:after="0"/>
        <w:rPr>
          <w:bCs/>
          <w:kern w:val="0"/>
        </w:rPr>
      </w:pPr>
      <w:r>
        <w:rPr>
          <w:bCs/>
          <w:kern w:val="0"/>
        </w:rPr>
        <w:t>Introduction</w:t>
      </w:r>
    </w:p>
    <w:p w14:paraId="6348437C" w14:textId="77777777" w:rsidR="008256AD" w:rsidRDefault="008256AD"/>
    <w:p w14:paraId="6651CE80" w14:textId="77777777" w:rsidR="008256AD" w:rsidRDefault="008256AD"/>
    <w:p w14:paraId="6B6BF843" w14:textId="77777777" w:rsidR="008256AD" w:rsidRDefault="008256AD">
      <w:pPr>
        <w:pStyle w:val="Heading2"/>
      </w:pPr>
      <w:r>
        <w:t xml:space="preserve">In </w:t>
      </w:r>
      <w:r w:rsidR="00B65632">
        <w:t>May 2022</w:t>
      </w:r>
      <w:r>
        <w:t xml:space="preserve">, the Local Government Boundary Commission for England (“LGBCE” or “the Commission”) announced that it would be conducting an electoral review of Surrey County Council. The review was triggered by the fact </w:t>
      </w:r>
      <w:r w:rsidR="00B65632">
        <w:t>that it had been 12 years since our last electoral review in 2010.</w:t>
      </w:r>
    </w:p>
    <w:p w14:paraId="28201488" w14:textId="77777777" w:rsidR="008256AD" w:rsidRDefault="008256AD">
      <w:pPr>
        <w:ind w:left="60"/>
        <w:rPr>
          <w:rFonts w:cs="Arial"/>
        </w:rPr>
      </w:pPr>
    </w:p>
    <w:p w14:paraId="71C07859" w14:textId="77777777" w:rsidR="008256AD" w:rsidRDefault="008256AD">
      <w:pPr>
        <w:pStyle w:val="Heading2"/>
      </w:pPr>
      <w:r>
        <w:t xml:space="preserve">The Review began in </w:t>
      </w:r>
      <w:r w:rsidR="00B65632">
        <w:t>May 2022</w:t>
      </w:r>
      <w:r>
        <w:t xml:space="preserve"> with an initial consultation on the overall council size.  Surrey County Council submitted a detailed response to this consultation, considering each of the Commission’s criteria in turn, and recommended that the current council size of 8</w:t>
      </w:r>
      <w:r w:rsidR="00B65632">
        <w:t>1</w:t>
      </w:r>
      <w:r>
        <w:t xml:space="preserve"> Members be retained.  In commencing </w:t>
      </w:r>
      <w:r w:rsidR="00B65632">
        <w:t>phase two</w:t>
      </w:r>
      <w:r>
        <w:t xml:space="preserve"> of the Review, the Commission has confirmed that, in line with the Council’s own view, it is minded to recommend </w:t>
      </w:r>
      <w:bookmarkStart w:id="0" w:name="OLE_LINK1"/>
      <w:r>
        <w:t>retaining the Council’s current size of 8</w:t>
      </w:r>
      <w:r w:rsidR="00B65632">
        <w:t>1</w:t>
      </w:r>
      <w:r>
        <w:t xml:space="preserve"> Members</w:t>
      </w:r>
      <w:bookmarkEnd w:id="0"/>
      <w:r>
        <w:t xml:space="preserve"> and therefore the County Council’s response to </w:t>
      </w:r>
      <w:r w:rsidR="00B65632">
        <w:t xml:space="preserve">this phase </w:t>
      </w:r>
      <w:r>
        <w:t>begins at this point.</w:t>
      </w:r>
    </w:p>
    <w:p w14:paraId="7FD5F174" w14:textId="77777777" w:rsidR="008256AD" w:rsidRDefault="008256AD"/>
    <w:p w14:paraId="4D9CEA8C" w14:textId="77777777" w:rsidR="008256AD" w:rsidRDefault="008256AD">
      <w:pPr>
        <w:ind w:left="720"/>
        <w:rPr>
          <w:rFonts w:cs="Arial"/>
          <w:iCs/>
          <w:color w:val="000000"/>
        </w:rPr>
      </w:pPr>
    </w:p>
    <w:p w14:paraId="17DEDCFF" w14:textId="77777777" w:rsidR="008256AD" w:rsidRDefault="008256AD">
      <w:pPr>
        <w:pStyle w:val="Heading1"/>
        <w:spacing w:before="0" w:after="0"/>
        <w:rPr>
          <w:rFonts w:cs="Arial"/>
          <w:bCs/>
          <w:kern w:val="0"/>
        </w:rPr>
      </w:pPr>
      <w:r>
        <w:rPr>
          <w:rFonts w:cs="Arial"/>
          <w:bCs/>
          <w:kern w:val="0"/>
        </w:rPr>
        <w:t>Guidance on proposing a pattern of divisions</w:t>
      </w:r>
    </w:p>
    <w:p w14:paraId="5BD0D7D6" w14:textId="77777777" w:rsidR="008256AD" w:rsidRDefault="008256AD">
      <w:pPr>
        <w:rPr>
          <w:rFonts w:cs="Arial"/>
        </w:rPr>
      </w:pPr>
    </w:p>
    <w:p w14:paraId="75F5053B" w14:textId="77777777" w:rsidR="008256AD" w:rsidRDefault="008256AD" w:rsidP="00B65632">
      <w:pPr>
        <w:pStyle w:val="Heading2"/>
      </w:pPr>
      <w:r>
        <w:t xml:space="preserve">In </w:t>
      </w:r>
      <w:r w:rsidR="00B65632">
        <w:t>phase two</w:t>
      </w:r>
      <w:r>
        <w:t xml:space="preserve">, all interested parties (including the County Council) are invited to put forward proposals on the detailed electoral arrangements given the suggested council size.  </w:t>
      </w:r>
    </w:p>
    <w:p w14:paraId="53D69621" w14:textId="77777777" w:rsidR="00B65632" w:rsidRPr="00B65632" w:rsidRDefault="00B65632" w:rsidP="00B65632"/>
    <w:p w14:paraId="6A4A46D4" w14:textId="77777777" w:rsidR="008256AD" w:rsidRDefault="008256AD">
      <w:pPr>
        <w:pStyle w:val="Heading2"/>
      </w:pPr>
      <w:r>
        <w:t>In terms of evidence, the Commission has three statutory criteria:</w:t>
      </w:r>
    </w:p>
    <w:p w14:paraId="3E8C20DC" w14:textId="7047E30D" w:rsidR="008256AD" w:rsidRDefault="008256AD">
      <w:pPr>
        <w:numPr>
          <w:ilvl w:val="0"/>
          <w:numId w:val="19"/>
        </w:numPr>
        <w:overflowPunct/>
        <w:spacing w:before="120"/>
        <w:textAlignment w:val="auto"/>
        <w:rPr>
          <w:rFonts w:cs="Arial"/>
          <w:szCs w:val="24"/>
          <w:lang w:val="en-US"/>
        </w:rPr>
      </w:pPr>
      <w:r>
        <w:rPr>
          <w:rFonts w:cs="Arial"/>
          <w:b/>
          <w:bCs/>
          <w:szCs w:val="24"/>
          <w:lang w:val="en-US"/>
        </w:rPr>
        <w:t xml:space="preserve">Electoral equality.  </w:t>
      </w:r>
      <w:r>
        <w:rPr>
          <w:rFonts w:cs="Arial"/>
          <w:szCs w:val="24"/>
          <w:lang w:val="en-US"/>
        </w:rPr>
        <w:t xml:space="preserve">Each </w:t>
      </w:r>
      <w:r w:rsidR="00D05068">
        <w:rPr>
          <w:rFonts w:cs="Arial"/>
          <w:szCs w:val="24"/>
          <w:lang w:val="en-US"/>
        </w:rPr>
        <w:t>Councillor</w:t>
      </w:r>
      <w:r>
        <w:rPr>
          <w:rFonts w:cs="Arial"/>
          <w:szCs w:val="24"/>
          <w:lang w:val="en-US"/>
        </w:rPr>
        <w:t xml:space="preserve"> should represent as near as possible to the same number of electors. </w:t>
      </w:r>
    </w:p>
    <w:p w14:paraId="20D57CB4" w14:textId="05F86547" w:rsidR="008256AD" w:rsidRDefault="00B507DD">
      <w:pPr>
        <w:numPr>
          <w:ilvl w:val="0"/>
          <w:numId w:val="19"/>
        </w:numPr>
        <w:overflowPunct/>
        <w:spacing w:before="120"/>
        <w:textAlignment w:val="auto"/>
        <w:rPr>
          <w:rFonts w:cs="Arial"/>
          <w:szCs w:val="24"/>
          <w:lang w:val="en-US"/>
        </w:rPr>
      </w:pPr>
      <w:r>
        <w:rPr>
          <w:rFonts w:cs="Arial"/>
          <w:b/>
          <w:bCs/>
          <w:szCs w:val="24"/>
          <w:lang w:val="en-US"/>
        </w:rPr>
        <w:t>C</w:t>
      </w:r>
      <w:r w:rsidR="008256AD">
        <w:rPr>
          <w:rFonts w:cs="Arial"/>
          <w:b/>
          <w:bCs/>
          <w:szCs w:val="24"/>
          <w:lang w:val="en-US"/>
        </w:rPr>
        <w:t>ommunity identity</w:t>
      </w:r>
      <w:r w:rsidR="00B65632">
        <w:rPr>
          <w:rFonts w:cs="Arial"/>
          <w:b/>
          <w:bCs/>
          <w:szCs w:val="24"/>
          <w:lang w:val="en-US"/>
        </w:rPr>
        <w:t xml:space="preserve"> and interests</w:t>
      </w:r>
      <w:r w:rsidR="008256AD">
        <w:rPr>
          <w:rFonts w:cs="Arial"/>
          <w:szCs w:val="24"/>
          <w:lang w:val="en-US"/>
        </w:rPr>
        <w:t xml:space="preserve">. Division boundaries should </w:t>
      </w:r>
      <w:r w:rsidR="008256AD">
        <w:rPr>
          <w:rFonts w:cs="Arial"/>
          <w:szCs w:val="24"/>
        </w:rPr>
        <w:t>recognise</w:t>
      </w:r>
      <w:r w:rsidR="008256AD">
        <w:rPr>
          <w:rFonts w:cs="Arial"/>
          <w:szCs w:val="24"/>
          <w:lang w:val="en-US"/>
        </w:rPr>
        <w:t xml:space="preserve"> and support strong community links, such as parishes, shared facilities and transport links.</w:t>
      </w:r>
    </w:p>
    <w:p w14:paraId="391DC4A1" w14:textId="2F9BDA43" w:rsidR="008256AD" w:rsidRDefault="00B507DD">
      <w:pPr>
        <w:numPr>
          <w:ilvl w:val="0"/>
          <w:numId w:val="19"/>
        </w:numPr>
        <w:overflowPunct/>
        <w:spacing w:before="120"/>
        <w:textAlignment w:val="auto"/>
        <w:rPr>
          <w:rFonts w:cs="Arial"/>
          <w:szCs w:val="24"/>
          <w:lang w:val="en-US"/>
        </w:rPr>
      </w:pPr>
      <w:r>
        <w:rPr>
          <w:rFonts w:cs="Arial"/>
          <w:b/>
          <w:bCs/>
          <w:szCs w:val="24"/>
          <w:lang w:val="en-US"/>
        </w:rPr>
        <w:t>E</w:t>
      </w:r>
      <w:r w:rsidR="008256AD">
        <w:rPr>
          <w:rFonts w:cs="Arial"/>
          <w:b/>
          <w:bCs/>
          <w:szCs w:val="24"/>
          <w:lang w:val="en-US"/>
        </w:rPr>
        <w:t xml:space="preserve">ffective and convenient local government. </w:t>
      </w:r>
      <w:r w:rsidR="008256AD">
        <w:rPr>
          <w:rFonts w:cs="Arial"/>
          <w:szCs w:val="24"/>
          <w:lang w:val="en-US"/>
        </w:rPr>
        <w:t>Divisions should be coherent with good internal communication links. For example, ensuring the Member can effectively travel to all parts of his/her division.</w:t>
      </w:r>
    </w:p>
    <w:p w14:paraId="460D3A04" w14:textId="77777777" w:rsidR="008256AD" w:rsidRDefault="008256AD">
      <w:pPr>
        <w:rPr>
          <w:rFonts w:cs="Arial"/>
        </w:rPr>
      </w:pPr>
    </w:p>
    <w:p w14:paraId="04778A04" w14:textId="49F3EC09" w:rsidR="008256AD" w:rsidRDefault="008256AD">
      <w:pPr>
        <w:pStyle w:val="Heading2"/>
      </w:pPr>
      <w:r>
        <w:t xml:space="preserve">In addition, no division can cross a district or borough boundary and therefore must be contained entirely within one of the 11 districts and boroughs within Surrey.     </w:t>
      </w:r>
    </w:p>
    <w:p w14:paraId="78F677C4" w14:textId="77777777" w:rsidR="008256AD" w:rsidRDefault="008256AD">
      <w:pPr>
        <w:rPr>
          <w:rFonts w:cs="Arial"/>
        </w:rPr>
      </w:pPr>
    </w:p>
    <w:p w14:paraId="225DA2E0" w14:textId="5C5EAF6D" w:rsidR="008256AD" w:rsidRDefault="008256AD">
      <w:pPr>
        <w:pStyle w:val="Heading2"/>
      </w:pPr>
      <w:r>
        <w:t xml:space="preserve">The Commission also makes it clear that they </w:t>
      </w:r>
      <w:r w:rsidR="0024646F">
        <w:t>cannot</w:t>
      </w:r>
      <w:r>
        <w:t xml:space="preserve"> consider any of the following as evidence:</w:t>
      </w:r>
    </w:p>
    <w:p w14:paraId="7D3E2AD6" w14:textId="77777777" w:rsidR="008256AD" w:rsidRDefault="008256AD">
      <w:pPr>
        <w:numPr>
          <w:ilvl w:val="0"/>
          <w:numId w:val="19"/>
        </w:numPr>
        <w:overflowPunct/>
        <w:spacing w:before="120"/>
        <w:textAlignment w:val="auto"/>
        <w:rPr>
          <w:rFonts w:cs="Arial"/>
          <w:szCs w:val="24"/>
          <w:lang w:val="en-US"/>
        </w:rPr>
      </w:pPr>
      <w:r>
        <w:rPr>
          <w:rFonts w:cs="Arial"/>
          <w:szCs w:val="24"/>
          <w:lang w:val="en-US"/>
        </w:rPr>
        <w:t>Parliamentary Constituency Boundaries</w:t>
      </w:r>
    </w:p>
    <w:p w14:paraId="54FE4E2D" w14:textId="77777777" w:rsidR="008256AD" w:rsidRDefault="008256AD">
      <w:pPr>
        <w:numPr>
          <w:ilvl w:val="0"/>
          <w:numId w:val="19"/>
        </w:numPr>
        <w:overflowPunct/>
        <w:spacing w:before="120"/>
        <w:textAlignment w:val="auto"/>
        <w:rPr>
          <w:rFonts w:cs="Arial"/>
          <w:szCs w:val="24"/>
          <w:lang w:val="en-US"/>
        </w:rPr>
      </w:pPr>
      <w:r>
        <w:rPr>
          <w:rFonts w:cs="Arial"/>
          <w:szCs w:val="24"/>
          <w:lang w:val="en-US"/>
        </w:rPr>
        <w:t>Current County divisions</w:t>
      </w:r>
    </w:p>
    <w:p w14:paraId="3B09E6B2" w14:textId="77777777" w:rsidR="008256AD" w:rsidRDefault="008256AD">
      <w:pPr>
        <w:numPr>
          <w:ilvl w:val="0"/>
          <w:numId w:val="19"/>
        </w:numPr>
        <w:overflowPunct/>
        <w:spacing w:before="120"/>
        <w:textAlignment w:val="auto"/>
        <w:rPr>
          <w:rFonts w:cs="Arial"/>
          <w:szCs w:val="24"/>
          <w:lang w:val="en-US"/>
        </w:rPr>
      </w:pPr>
      <w:r>
        <w:rPr>
          <w:rFonts w:cs="Arial"/>
          <w:szCs w:val="24"/>
          <w:lang w:val="en-US"/>
        </w:rPr>
        <w:t>Local political implications of recommendations</w:t>
      </w:r>
    </w:p>
    <w:p w14:paraId="05E4060C" w14:textId="77777777" w:rsidR="008256AD" w:rsidRDefault="008256AD">
      <w:pPr>
        <w:numPr>
          <w:ilvl w:val="0"/>
          <w:numId w:val="19"/>
        </w:numPr>
        <w:overflowPunct/>
        <w:spacing w:before="120"/>
        <w:textAlignment w:val="auto"/>
        <w:rPr>
          <w:rFonts w:cs="Arial"/>
          <w:szCs w:val="24"/>
          <w:lang w:val="en-US"/>
        </w:rPr>
      </w:pPr>
      <w:r>
        <w:rPr>
          <w:rFonts w:cs="Arial"/>
          <w:szCs w:val="24"/>
          <w:lang w:val="en-US"/>
        </w:rPr>
        <w:t>School catchment areas</w:t>
      </w:r>
    </w:p>
    <w:p w14:paraId="17C8A37F" w14:textId="77777777" w:rsidR="008256AD" w:rsidRPr="00B65632" w:rsidRDefault="008256AD" w:rsidP="00B65632">
      <w:pPr>
        <w:numPr>
          <w:ilvl w:val="0"/>
          <w:numId w:val="19"/>
        </w:numPr>
        <w:overflowPunct/>
        <w:spacing w:before="120"/>
        <w:textAlignment w:val="auto"/>
        <w:rPr>
          <w:rFonts w:cs="Arial"/>
          <w:szCs w:val="24"/>
          <w:lang w:val="en-US"/>
        </w:rPr>
      </w:pPr>
      <w:r>
        <w:rPr>
          <w:rFonts w:cs="Arial"/>
          <w:szCs w:val="24"/>
          <w:lang w:val="en-US"/>
        </w:rPr>
        <w:t>Postcodes or addresses</w:t>
      </w:r>
    </w:p>
    <w:p w14:paraId="07350E44" w14:textId="77777777" w:rsidR="008256AD" w:rsidRDefault="008256AD">
      <w:pPr>
        <w:pStyle w:val="Heading1"/>
      </w:pPr>
      <w:r>
        <w:t>The Council’s Approach</w:t>
      </w:r>
    </w:p>
    <w:p w14:paraId="1970F2FD" w14:textId="77777777" w:rsidR="008256AD" w:rsidRDefault="008256AD"/>
    <w:p w14:paraId="1D2694CD" w14:textId="77777777" w:rsidR="008256AD" w:rsidRDefault="008256AD">
      <w:pPr>
        <w:pStyle w:val="Heading2"/>
      </w:pPr>
      <w:r>
        <w:t xml:space="preserve">In </w:t>
      </w:r>
      <w:r w:rsidR="00B65632">
        <w:t>May 2022</w:t>
      </w:r>
      <w:r>
        <w:t xml:space="preserve">, the Council set up a cross-party working group to lead on its response to the Electoral Review.  This working group co-ordinated the Council’s response on Council Size, endorsed formally by the County Council on </w:t>
      </w:r>
      <w:r w:rsidR="00D74874" w:rsidRPr="00D74874">
        <w:t>13</w:t>
      </w:r>
      <w:r w:rsidR="00B65632" w:rsidRPr="00D74874">
        <w:t xml:space="preserve"> </w:t>
      </w:r>
      <w:r w:rsidRPr="00D74874">
        <w:t>December</w:t>
      </w:r>
      <w:r w:rsidR="00B65632" w:rsidRPr="00D74874">
        <w:t xml:space="preserve"> 2023</w:t>
      </w:r>
      <w:r>
        <w:t xml:space="preserve">, and has continued in this co-ordination role for </w:t>
      </w:r>
      <w:r w:rsidR="00B65632">
        <w:t>phase two</w:t>
      </w:r>
      <w:r>
        <w:t xml:space="preserve"> of the Review.  </w:t>
      </w:r>
    </w:p>
    <w:p w14:paraId="6C273B7C" w14:textId="77777777" w:rsidR="008256AD" w:rsidRDefault="008256AD"/>
    <w:p w14:paraId="3821FB09" w14:textId="239CB1E3" w:rsidR="008256AD" w:rsidRDefault="008256AD">
      <w:pPr>
        <w:pStyle w:val="Heading2"/>
      </w:pPr>
      <w:r>
        <w:t xml:space="preserve">As each division must be contained wholly within a district/borough area, the working group felt that it was appropriate to focus on each district and borough area discretely in the first instance.  To ensure that any proposals put forward were fully informed by local knowledge, meetings were held with each local grouping of county councillors to gather their views on how best to arrange divisions within their district or borough area given the Commission’s criteria.  </w:t>
      </w:r>
    </w:p>
    <w:p w14:paraId="0AA84CD5" w14:textId="77777777" w:rsidR="008256AD" w:rsidRDefault="008256AD"/>
    <w:p w14:paraId="75984292" w14:textId="77777777" w:rsidR="008256AD" w:rsidRDefault="008256AD">
      <w:pPr>
        <w:pStyle w:val="Heading2"/>
      </w:pPr>
      <w:r>
        <w:t xml:space="preserve">In putting forward proposals, local Members were asked to give consideration to the Commission’s criteria and to work within a 10% variance from the average electorate per division.  Working within these boundaries, Members were asked to put forward a pattern of divisions that would best support strong community identity and used easily identifiable boundaries – such as parishes, major roads/railways and rivers.  However, it is recognised that each local area is different and both the geography and pattern of communities can, in exceptional circumstances, make this 10% variance difficult to achieve.  In such instances, local Members have provided additional evidence to explain the detrimental impact of altering any proposed divisions to bring them within the tolerance range for electoral equality.  </w:t>
      </w:r>
    </w:p>
    <w:p w14:paraId="6D3EC7E8" w14:textId="77777777" w:rsidR="008256AD" w:rsidRDefault="008256AD"/>
    <w:p w14:paraId="1C880CA4" w14:textId="00389F79" w:rsidR="008256AD" w:rsidRDefault="008256AD">
      <w:pPr>
        <w:pStyle w:val="Heading2"/>
      </w:pPr>
      <w:r w:rsidRPr="002128F9">
        <w:t>Where there was unanimous local agreement for a pattern of divisions that met the criteria, this has been automatically adopted as the Council’s response as it was felt that local Members are best placed to advise on this.  Where</w:t>
      </w:r>
      <w:r>
        <w:t xml:space="preserve"> local agreement did not prove possible, the task group looked at all the views put forward and recommended the pattern it felt best met the Commission’s criteria.  </w:t>
      </w:r>
      <w:r w:rsidR="00D8258D">
        <w:t xml:space="preserve">If there wasn’t a unanimous agreement on one option, </w:t>
      </w:r>
      <w:r w:rsidR="00894CE8">
        <w:t>the task group</w:t>
      </w:r>
      <w:r w:rsidR="00D8258D">
        <w:t xml:space="preserve"> agreed to present multiple options.</w:t>
      </w:r>
    </w:p>
    <w:p w14:paraId="2A599EB6" w14:textId="77777777" w:rsidR="008256AD" w:rsidRDefault="008256AD"/>
    <w:p w14:paraId="4B2A6942" w14:textId="77777777" w:rsidR="008256AD" w:rsidRDefault="008256AD">
      <w:pPr>
        <w:pStyle w:val="Heading2"/>
      </w:pPr>
      <w:r>
        <w:t xml:space="preserve">Using this bottom-up approach, the proposals put forward by the County Council have been locally drafted and moderated for consistency by the cross-party working group.  </w:t>
      </w:r>
    </w:p>
    <w:p w14:paraId="3514EB35" w14:textId="77777777" w:rsidR="008256AD" w:rsidRDefault="008256AD"/>
    <w:p w14:paraId="7E902F1C" w14:textId="77777777" w:rsidR="008256AD" w:rsidRDefault="008256AD"/>
    <w:p w14:paraId="7C6C43B9" w14:textId="77777777" w:rsidR="008256AD" w:rsidRDefault="008256AD">
      <w:pPr>
        <w:pStyle w:val="Heading1"/>
      </w:pPr>
      <w:r>
        <w:br w:type="page"/>
        <w:t>Recommended Pattern of Divisions</w:t>
      </w:r>
    </w:p>
    <w:p w14:paraId="606F0877" w14:textId="77777777" w:rsidR="008256AD" w:rsidRDefault="008256AD"/>
    <w:p w14:paraId="1EA4AB9A" w14:textId="77777777" w:rsidR="008256AD" w:rsidRDefault="008256AD">
      <w:pPr>
        <w:rPr>
          <w:b/>
          <w:bCs/>
        </w:rPr>
      </w:pPr>
      <w:r>
        <w:rPr>
          <w:b/>
          <w:bCs/>
        </w:rPr>
        <w:t>Electorate Forecasts</w:t>
      </w:r>
    </w:p>
    <w:p w14:paraId="2E57FBC7" w14:textId="77777777" w:rsidR="008256AD" w:rsidRDefault="008256AD"/>
    <w:p w14:paraId="0062CA0D" w14:textId="77777777" w:rsidR="008256AD" w:rsidRDefault="008256AD">
      <w:pPr>
        <w:pStyle w:val="Heading2"/>
      </w:pPr>
      <w:r>
        <w:t>When making their recommendations, the Commission must have regard to the likely increase, decrease or movement in electorate over a 5-year period and, therefore, the Council has used forecasted electorate numbers for 20</w:t>
      </w:r>
      <w:r w:rsidR="00B65632">
        <w:t>29</w:t>
      </w:r>
      <w:r>
        <w:t xml:space="preserve"> in putting forward its proposals.  </w:t>
      </w:r>
    </w:p>
    <w:p w14:paraId="68EE1682" w14:textId="77777777" w:rsidR="008256AD" w:rsidRDefault="008256AD">
      <w:pPr>
        <w:rPr>
          <w:lang w:val="en-US"/>
        </w:rPr>
      </w:pPr>
    </w:p>
    <w:p w14:paraId="055CE952" w14:textId="5465C59A" w:rsidR="008256AD" w:rsidRDefault="00BF3701" w:rsidP="67EC596A">
      <w:pPr>
        <w:pStyle w:val="Heading2"/>
        <w:rPr>
          <w:lang w:val="en-US"/>
        </w:rPr>
      </w:pPr>
      <w:r>
        <w:rPr>
          <w:noProof/>
        </w:rPr>
        <w:drawing>
          <wp:anchor distT="0" distB="0" distL="114300" distR="114300" simplePos="0" relativeHeight="251658240" behindDoc="0" locked="0" layoutInCell="1" allowOverlap="1" wp14:anchorId="53E3EC01" wp14:editId="4DAF75CB">
            <wp:simplePos x="0" y="0"/>
            <wp:positionH relativeFrom="column">
              <wp:posOffset>-680085</wp:posOffset>
            </wp:positionH>
            <wp:positionV relativeFrom="paragraph">
              <wp:posOffset>318770</wp:posOffset>
            </wp:positionV>
            <wp:extent cx="7259320" cy="3133725"/>
            <wp:effectExtent l="0" t="0" r="0" b="9525"/>
            <wp:wrapTopAndBottom/>
            <wp:docPr id="778772111" name="Picture 778772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259320" cy="3133725"/>
                    </a:xfrm>
                    <a:prstGeom prst="rect">
                      <a:avLst/>
                    </a:prstGeom>
                  </pic:spPr>
                </pic:pic>
              </a:graphicData>
            </a:graphic>
            <wp14:sizeRelH relativeFrom="page">
              <wp14:pctWidth>0</wp14:pctWidth>
            </wp14:sizeRelH>
            <wp14:sizeRelV relativeFrom="page">
              <wp14:pctHeight>0</wp14:pctHeight>
            </wp14:sizeRelV>
          </wp:anchor>
        </w:drawing>
      </w:r>
      <w:r w:rsidR="587E430E">
        <w:t>The LGBCE methodology for generating the polling district electoral forecasts was:</w:t>
      </w:r>
    </w:p>
    <w:p w14:paraId="22032313" w14:textId="0D3DC9A5" w:rsidR="67EC596A" w:rsidRDefault="67EC596A" w:rsidP="67EC596A">
      <w:pPr>
        <w:rPr>
          <w:highlight w:val="yellow"/>
        </w:rPr>
      </w:pPr>
    </w:p>
    <w:p w14:paraId="7453F8E5" w14:textId="16304222" w:rsidR="5E2F2B5C" w:rsidRDefault="5E2F2B5C" w:rsidP="67EC596A"/>
    <w:p w14:paraId="586F9CB8" w14:textId="77777777" w:rsidR="008256AD" w:rsidRDefault="008256AD">
      <w:pPr>
        <w:pStyle w:val="Heading2"/>
        <w:numPr>
          <w:ilvl w:val="0"/>
          <w:numId w:val="0"/>
        </w:numPr>
      </w:pPr>
    </w:p>
    <w:p w14:paraId="4CDC25F2" w14:textId="77777777" w:rsidR="008256AD" w:rsidRPr="00001306" w:rsidRDefault="008256AD">
      <w:pPr>
        <w:pStyle w:val="Heading2"/>
        <w:numPr>
          <w:ilvl w:val="0"/>
          <w:numId w:val="0"/>
        </w:numPr>
        <w:rPr>
          <w:b/>
          <w:bCs w:val="0"/>
        </w:rPr>
      </w:pPr>
      <w:r w:rsidRPr="00001306">
        <w:rPr>
          <w:b/>
          <w:bCs w:val="0"/>
        </w:rPr>
        <w:t>Council Size</w:t>
      </w:r>
    </w:p>
    <w:p w14:paraId="34A88C5B" w14:textId="77777777" w:rsidR="008256AD" w:rsidRPr="00B65632" w:rsidRDefault="008256AD">
      <w:pPr>
        <w:rPr>
          <w:highlight w:val="yellow"/>
        </w:rPr>
      </w:pPr>
    </w:p>
    <w:p w14:paraId="411D57EC" w14:textId="77777777" w:rsidR="008256AD" w:rsidRPr="00001306" w:rsidRDefault="008256AD">
      <w:pPr>
        <w:pStyle w:val="Heading2"/>
      </w:pPr>
      <w:r w:rsidRPr="00001306">
        <w:t xml:space="preserve">As stated in the introduction, the Commission confirmed in </w:t>
      </w:r>
      <w:r w:rsidR="00B65632" w:rsidRPr="00001306">
        <w:t>February 2023</w:t>
      </w:r>
      <w:r w:rsidRPr="00001306">
        <w:t xml:space="preserve"> that it was minded to recommend that Surrey County Council retains the current size of </w:t>
      </w:r>
      <w:r w:rsidR="00B65632" w:rsidRPr="00001306">
        <w:t>81 M</w:t>
      </w:r>
      <w:r w:rsidRPr="00001306">
        <w:t xml:space="preserve">embers and advised that the Council begin its work by looking at how this would be distributed across the 11 District and Borough areas to ensure the greatest level of electoral equality.    </w:t>
      </w:r>
    </w:p>
    <w:p w14:paraId="1DC2E2E9" w14:textId="77777777" w:rsidR="008256AD" w:rsidRPr="00B65632" w:rsidRDefault="008256AD">
      <w:pPr>
        <w:pStyle w:val="Heading2"/>
        <w:numPr>
          <w:ilvl w:val="0"/>
          <w:numId w:val="0"/>
        </w:numPr>
        <w:rPr>
          <w:highlight w:val="yellow"/>
        </w:rPr>
      </w:pPr>
    </w:p>
    <w:p w14:paraId="7209E83A" w14:textId="77777777" w:rsidR="00D77F20" w:rsidRPr="00644D90" w:rsidRDefault="005701C2" w:rsidP="00D77F20">
      <w:pPr>
        <w:pStyle w:val="Heading2"/>
      </w:pPr>
      <w:r w:rsidRPr="00644D90">
        <w:t xml:space="preserve">Based on forecasts for 2029, Surrey will have an electorate of 964,825.  With a Council size of 81, this equates to an average electorate of 11,911 per division.  </w:t>
      </w:r>
      <w:r w:rsidR="00D77F20" w:rsidRPr="00644D90">
        <w:t>Using the 2029 forecasts, the position can be summarised as follows:</w:t>
      </w:r>
    </w:p>
    <w:p w14:paraId="2AEC1078" w14:textId="77777777" w:rsidR="00D77F20" w:rsidRDefault="00D77F20" w:rsidP="00D77F20">
      <w:pPr>
        <w:pStyle w:val="Heading2"/>
        <w:numPr>
          <w:ilvl w:val="0"/>
          <w:numId w:val="0"/>
        </w:numPr>
        <w:ind w:left="576"/>
        <w:rPr>
          <w:highlight w:val="yellow"/>
        </w:rPr>
      </w:pPr>
    </w:p>
    <w:p w14:paraId="26D67A3F" w14:textId="77777777" w:rsidR="00A308B3" w:rsidRPr="00D77F20" w:rsidRDefault="00D77F20" w:rsidP="00D77F20">
      <w:pPr>
        <w:pStyle w:val="Heading2"/>
        <w:numPr>
          <w:ilvl w:val="0"/>
          <w:numId w:val="0"/>
        </w:numPr>
        <w:ind w:left="576"/>
        <w:rPr>
          <w:highlight w:val="yellow"/>
        </w:rPr>
      </w:pPr>
      <w:r w:rsidRPr="00D77F20">
        <w:rPr>
          <w:highlight w:val="yellow"/>
        </w:rPr>
        <w:t xml:space="preserve"> </w:t>
      </w:r>
    </w:p>
    <w:tbl>
      <w:tblPr>
        <w:tblW w:w="0" w:type="auto"/>
        <w:tblInd w:w="113" w:type="dxa"/>
        <w:tblLook w:val="04A0" w:firstRow="1" w:lastRow="0" w:firstColumn="1" w:lastColumn="0" w:noHBand="0" w:noVBand="1"/>
      </w:tblPr>
      <w:tblGrid>
        <w:gridCol w:w="1471"/>
        <w:gridCol w:w="1331"/>
        <w:gridCol w:w="1331"/>
        <w:gridCol w:w="1028"/>
        <w:gridCol w:w="1063"/>
        <w:gridCol w:w="1378"/>
        <w:gridCol w:w="2052"/>
      </w:tblGrid>
      <w:tr w:rsidR="00A308B3" w:rsidRPr="00376672" w14:paraId="2BF437E3" w14:textId="7777777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D1C8713" w14:textId="77777777" w:rsidR="00A308B3" w:rsidRPr="00376672" w:rsidRDefault="00A308B3">
            <w:pPr>
              <w:overflowPunct/>
              <w:autoSpaceDE/>
              <w:autoSpaceDN/>
              <w:adjustRightInd/>
              <w:jc w:val="center"/>
              <w:textAlignment w:val="auto"/>
              <w:rPr>
                <w:rFonts w:cs="Arial"/>
                <w:b/>
                <w:bCs/>
                <w:sz w:val="20"/>
                <w:lang w:eastAsia="en-GB"/>
              </w:rPr>
            </w:pPr>
            <w:bookmarkStart w:id="1" w:name="_Hlk127952191"/>
            <w:r w:rsidRPr="00376672">
              <w:rPr>
                <w:rFonts w:cs="Arial"/>
                <w:b/>
                <w:bCs/>
                <w:sz w:val="20"/>
                <w:lang w:eastAsia="en-GB"/>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A76A29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Electorate 2022 total</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449628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Electorate 2029 total</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E5510A3" w14:textId="77777777" w:rsidR="00A308B3" w:rsidRPr="00376672" w:rsidRDefault="00A308B3">
            <w:pPr>
              <w:overflowPunct/>
              <w:autoSpaceDE/>
              <w:autoSpaceDN/>
              <w:adjustRightInd/>
              <w:jc w:val="center"/>
              <w:textAlignment w:val="auto"/>
              <w:rPr>
                <w:rFonts w:cs="Arial"/>
                <w:b/>
                <w:bCs/>
                <w:sz w:val="20"/>
                <w:lang w:eastAsia="en-GB"/>
              </w:rPr>
            </w:pPr>
            <w:r>
              <w:rPr>
                <w:rFonts w:cs="Arial"/>
                <w:b/>
                <w:bCs/>
                <w:sz w:val="20"/>
                <w:lang w:eastAsia="en-GB"/>
              </w:rPr>
              <w:t>I</w:t>
            </w:r>
            <w:r w:rsidRPr="00376672">
              <w:rPr>
                <w:rFonts w:cs="Arial"/>
                <w:b/>
                <w:bCs/>
                <w:sz w:val="20"/>
                <w:lang w:eastAsia="en-GB"/>
              </w:rPr>
              <w:t>ncrease</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06BF6E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Increase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8EC1D3E"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Current number of members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52A89C5"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Councillors required to meet average electorate per councillor</w:t>
            </w:r>
            <w:r>
              <w:rPr>
                <w:rFonts w:cs="Arial"/>
                <w:b/>
                <w:bCs/>
                <w:sz w:val="20"/>
                <w:lang w:eastAsia="en-GB"/>
              </w:rPr>
              <w:t>*</w:t>
            </w:r>
            <w:r w:rsidRPr="00376672">
              <w:rPr>
                <w:rFonts w:cs="Arial"/>
                <w:b/>
                <w:bCs/>
                <w:sz w:val="20"/>
                <w:lang w:eastAsia="en-GB"/>
              </w:rPr>
              <w:t xml:space="preserve"> </w:t>
            </w:r>
          </w:p>
        </w:tc>
      </w:tr>
      <w:tr w:rsidR="00A308B3" w:rsidRPr="00376672" w14:paraId="6C5BA10C" w14:textId="77777777">
        <w:trPr>
          <w:trHeight w:val="383"/>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310D9D4"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Elmbridge</w:t>
            </w:r>
          </w:p>
        </w:tc>
        <w:tc>
          <w:tcPr>
            <w:tcW w:w="0" w:type="auto"/>
            <w:tcBorders>
              <w:top w:val="nil"/>
              <w:left w:val="nil"/>
              <w:bottom w:val="single" w:sz="4" w:space="0" w:color="auto"/>
              <w:right w:val="single" w:sz="4" w:space="0" w:color="auto"/>
            </w:tcBorders>
            <w:shd w:val="clear" w:color="000000" w:fill="FFFFFF"/>
            <w:vAlign w:val="center"/>
            <w:hideMark/>
          </w:tcPr>
          <w:p w14:paraId="4881761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100,820</w:t>
            </w:r>
          </w:p>
        </w:tc>
        <w:tc>
          <w:tcPr>
            <w:tcW w:w="0" w:type="auto"/>
            <w:tcBorders>
              <w:top w:val="nil"/>
              <w:left w:val="nil"/>
              <w:bottom w:val="single" w:sz="4" w:space="0" w:color="auto"/>
              <w:right w:val="single" w:sz="4" w:space="0" w:color="auto"/>
            </w:tcBorders>
            <w:shd w:val="clear" w:color="000000" w:fill="FFFFFF"/>
            <w:vAlign w:val="center"/>
            <w:hideMark/>
          </w:tcPr>
          <w:p w14:paraId="299CA65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108,173</w:t>
            </w:r>
          </w:p>
        </w:tc>
        <w:tc>
          <w:tcPr>
            <w:tcW w:w="0" w:type="auto"/>
            <w:tcBorders>
              <w:top w:val="nil"/>
              <w:left w:val="nil"/>
              <w:bottom w:val="single" w:sz="4" w:space="0" w:color="auto"/>
              <w:right w:val="single" w:sz="4" w:space="0" w:color="auto"/>
            </w:tcBorders>
            <w:shd w:val="clear" w:color="000000" w:fill="FFFFFF"/>
            <w:vAlign w:val="center"/>
            <w:hideMark/>
          </w:tcPr>
          <w:p w14:paraId="79A69B8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7,353</w:t>
            </w:r>
          </w:p>
        </w:tc>
        <w:tc>
          <w:tcPr>
            <w:tcW w:w="0" w:type="auto"/>
            <w:tcBorders>
              <w:top w:val="nil"/>
              <w:left w:val="nil"/>
              <w:bottom w:val="single" w:sz="4" w:space="0" w:color="auto"/>
              <w:right w:val="single" w:sz="4" w:space="0" w:color="auto"/>
            </w:tcBorders>
            <w:shd w:val="clear" w:color="000000" w:fill="FFFFFF"/>
            <w:vAlign w:val="center"/>
            <w:hideMark/>
          </w:tcPr>
          <w:p w14:paraId="07A9FCF7"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w:t>
            </w:r>
          </w:p>
        </w:tc>
        <w:tc>
          <w:tcPr>
            <w:tcW w:w="0" w:type="auto"/>
            <w:tcBorders>
              <w:top w:val="nil"/>
              <w:left w:val="nil"/>
              <w:bottom w:val="single" w:sz="4" w:space="0" w:color="auto"/>
              <w:right w:val="single" w:sz="4" w:space="0" w:color="auto"/>
            </w:tcBorders>
            <w:shd w:val="clear" w:color="000000" w:fill="FFFFFF"/>
            <w:vAlign w:val="center"/>
            <w:hideMark/>
          </w:tcPr>
          <w:p w14:paraId="1F5A3EB6"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w:t>
            </w:r>
          </w:p>
        </w:tc>
        <w:tc>
          <w:tcPr>
            <w:tcW w:w="0" w:type="auto"/>
            <w:tcBorders>
              <w:top w:val="nil"/>
              <w:left w:val="nil"/>
              <w:bottom w:val="single" w:sz="4" w:space="0" w:color="auto"/>
              <w:right w:val="single" w:sz="4" w:space="0" w:color="auto"/>
            </w:tcBorders>
            <w:shd w:val="clear" w:color="000000" w:fill="FFFFFF"/>
            <w:vAlign w:val="center"/>
            <w:hideMark/>
          </w:tcPr>
          <w:p w14:paraId="6424A1A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9.1</w:t>
            </w:r>
          </w:p>
        </w:tc>
      </w:tr>
      <w:tr w:rsidR="00A308B3" w:rsidRPr="00376672" w14:paraId="0E24FCF3" w14:textId="77777777">
        <w:trPr>
          <w:trHeight w:val="383"/>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3E277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Epsom &amp; Ewell</w:t>
            </w:r>
          </w:p>
        </w:tc>
        <w:tc>
          <w:tcPr>
            <w:tcW w:w="0" w:type="auto"/>
            <w:tcBorders>
              <w:top w:val="nil"/>
              <w:left w:val="nil"/>
              <w:bottom w:val="single" w:sz="4" w:space="0" w:color="auto"/>
              <w:right w:val="single" w:sz="4" w:space="0" w:color="auto"/>
            </w:tcBorders>
            <w:shd w:val="clear" w:color="000000" w:fill="FFFFFF"/>
            <w:vAlign w:val="center"/>
            <w:hideMark/>
          </w:tcPr>
          <w:p w14:paraId="757D05D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58,567</w:t>
            </w:r>
          </w:p>
        </w:tc>
        <w:tc>
          <w:tcPr>
            <w:tcW w:w="0" w:type="auto"/>
            <w:tcBorders>
              <w:top w:val="nil"/>
              <w:left w:val="nil"/>
              <w:bottom w:val="single" w:sz="4" w:space="0" w:color="auto"/>
              <w:right w:val="single" w:sz="4" w:space="0" w:color="auto"/>
            </w:tcBorders>
            <w:shd w:val="clear" w:color="000000" w:fill="FFFFFF"/>
            <w:vAlign w:val="center"/>
            <w:hideMark/>
          </w:tcPr>
          <w:p w14:paraId="58556AA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63,309</w:t>
            </w:r>
          </w:p>
        </w:tc>
        <w:tc>
          <w:tcPr>
            <w:tcW w:w="0" w:type="auto"/>
            <w:tcBorders>
              <w:top w:val="nil"/>
              <w:left w:val="nil"/>
              <w:bottom w:val="single" w:sz="4" w:space="0" w:color="auto"/>
              <w:right w:val="single" w:sz="4" w:space="0" w:color="auto"/>
            </w:tcBorders>
            <w:shd w:val="clear" w:color="000000" w:fill="FFFFFF"/>
            <w:vAlign w:val="center"/>
            <w:hideMark/>
          </w:tcPr>
          <w:p w14:paraId="5FEA9F4D"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4,742</w:t>
            </w:r>
          </w:p>
        </w:tc>
        <w:tc>
          <w:tcPr>
            <w:tcW w:w="0" w:type="auto"/>
            <w:tcBorders>
              <w:top w:val="nil"/>
              <w:left w:val="nil"/>
              <w:bottom w:val="single" w:sz="4" w:space="0" w:color="auto"/>
              <w:right w:val="single" w:sz="4" w:space="0" w:color="auto"/>
            </w:tcBorders>
            <w:shd w:val="clear" w:color="000000" w:fill="FFFFFF"/>
            <w:vAlign w:val="center"/>
            <w:hideMark/>
          </w:tcPr>
          <w:p w14:paraId="46EE441C"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w:t>
            </w:r>
          </w:p>
        </w:tc>
        <w:tc>
          <w:tcPr>
            <w:tcW w:w="0" w:type="auto"/>
            <w:tcBorders>
              <w:top w:val="nil"/>
              <w:left w:val="nil"/>
              <w:bottom w:val="single" w:sz="4" w:space="0" w:color="auto"/>
              <w:right w:val="single" w:sz="4" w:space="0" w:color="auto"/>
            </w:tcBorders>
            <w:shd w:val="clear" w:color="000000" w:fill="FFFFFF"/>
            <w:vAlign w:val="center"/>
            <w:hideMark/>
          </w:tcPr>
          <w:p w14:paraId="3DB7B8AB"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w:t>
            </w:r>
          </w:p>
        </w:tc>
        <w:tc>
          <w:tcPr>
            <w:tcW w:w="0" w:type="auto"/>
            <w:tcBorders>
              <w:top w:val="nil"/>
              <w:left w:val="nil"/>
              <w:bottom w:val="single" w:sz="4" w:space="0" w:color="auto"/>
              <w:right w:val="single" w:sz="4" w:space="0" w:color="auto"/>
            </w:tcBorders>
            <w:shd w:val="clear" w:color="000000" w:fill="FFFFFF"/>
            <w:vAlign w:val="center"/>
            <w:hideMark/>
          </w:tcPr>
          <w:p w14:paraId="4C34516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5.3</w:t>
            </w:r>
          </w:p>
        </w:tc>
      </w:tr>
      <w:tr w:rsidR="00A308B3" w:rsidRPr="00376672" w14:paraId="40B022AB" w14:textId="77777777">
        <w:trPr>
          <w:trHeight w:val="383"/>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089FC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Mole Valley</w:t>
            </w:r>
          </w:p>
        </w:tc>
        <w:tc>
          <w:tcPr>
            <w:tcW w:w="0" w:type="auto"/>
            <w:tcBorders>
              <w:top w:val="nil"/>
              <w:left w:val="nil"/>
              <w:bottom w:val="single" w:sz="4" w:space="0" w:color="auto"/>
              <w:right w:val="single" w:sz="4" w:space="0" w:color="auto"/>
            </w:tcBorders>
            <w:shd w:val="clear" w:color="000000" w:fill="FFFFFF"/>
            <w:vAlign w:val="center"/>
            <w:hideMark/>
          </w:tcPr>
          <w:p w14:paraId="31E6D3FD"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67,674</w:t>
            </w:r>
          </w:p>
        </w:tc>
        <w:tc>
          <w:tcPr>
            <w:tcW w:w="0" w:type="auto"/>
            <w:tcBorders>
              <w:top w:val="nil"/>
              <w:left w:val="nil"/>
              <w:bottom w:val="single" w:sz="4" w:space="0" w:color="auto"/>
              <w:right w:val="single" w:sz="4" w:space="0" w:color="auto"/>
            </w:tcBorders>
            <w:shd w:val="clear" w:color="000000" w:fill="FFFFFF"/>
            <w:vAlign w:val="center"/>
            <w:hideMark/>
          </w:tcPr>
          <w:p w14:paraId="7F5F4EF2"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76,015</w:t>
            </w:r>
          </w:p>
        </w:tc>
        <w:tc>
          <w:tcPr>
            <w:tcW w:w="0" w:type="auto"/>
            <w:tcBorders>
              <w:top w:val="nil"/>
              <w:left w:val="nil"/>
              <w:bottom w:val="single" w:sz="4" w:space="0" w:color="auto"/>
              <w:right w:val="single" w:sz="4" w:space="0" w:color="auto"/>
            </w:tcBorders>
            <w:shd w:val="clear" w:color="000000" w:fill="FFFFFF"/>
            <w:vAlign w:val="center"/>
            <w:hideMark/>
          </w:tcPr>
          <w:p w14:paraId="0664A968"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8,341</w:t>
            </w:r>
          </w:p>
        </w:tc>
        <w:tc>
          <w:tcPr>
            <w:tcW w:w="0" w:type="auto"/>
            <w:tcBorders>
              <w:top w:val="nil"/>
              <w:left w:val="nil"/>
              <w:bottom w:val="single" w:sz="4" w:space="0" w:color="auto"/>
              <w:right w:val="single" w:sz="4" w:space="0" w:color="auto"/>
            </w:tcBorders>
            <w:shd w:val="clear" w:color="000000" w:fill="FFFFFF"/>
            <w:vAlign w:val="center"/>
            <w:hideMark/>
          </w:tcPr>
          <w:p w14:paraId="5EC3A84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12%</w:t>
            </w:r>
          </w:p>
        </w:tc>
        <w:tc>
          <w:tcPr>
            <w:tcW w:w="0" w:type="auto"/>
            <w:tcBorders>
              <w:top w:val="nil"/>
              <w:left w:val="nil"/>
              <w:bottom w:val="single" w:sz="4" w:space="0" w:color="auto"/>
              <w:right w:val="single" w:sz="4" w:space="0" w:color="auto"/>
            </w:tcBorders>
            <w:shd w:val="clear" w:color="000000" w:fill="FFFFFF"/>
            <w:vAlign w:val="center"/>
            <w:hideMark/>
          </w:tcPr>
          <w:p w14:paraId="131AF5F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w:t>
            </w:r>
          </w:p>
        </w:tc>
        <w:tc>
          <w:tcPr>
            <w:tcW w:w="0" w:type="auto"/>
            <w:tcBorders>
              <w:top w:val="nil"/>
              <w:left w:val="nil"/>
              <w:bottom w:val="single" w:sz="4" w:space="0" w:color="auto"/>
              <w:right w:val="single" w:sz="4" w:space="0" w:color="auto"/>
            </w:tcBorders>
            <w:shd w:val="clear" w:color="000000" w:fill="FFFFFF"/>
            <w:vAlign w:val="center"/>
            <w:hideMark/>
          </w:tcPr>
          <w:p w14:paraId="0C5C0172"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6.4</w:t>
            </w:r>
          </w:p>
        </w:tc>
      </w:tr>
      <w:tr w:rsidR="00A308B3" w:rsidRPr="00376672" w14:paraId="6D745F81" w14:textId="77777777">
        <w:trPr>
          <w:trHeight w:val="79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02ED310"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Reigate &amp; Banstead</w:t>
            </w:r>
          </w:p>
        </w:tc>
        <w:tc>
          <w:tcPr>
            <w:tcW w:w="0" w:type="auto"/>
            <w:tcBorders>
              <w:top w:val="nil"/>
              <w:left w:val="nil"/>
              <w:bottom w:val="single" w:sz="4" w:space="0" w:color="auto"/>
              <w:right w:val="single" w:sz="4" w:space="0" w:color="auto"/>
            </w:tcBorders>
            <w:shd w:val="clear" w:color="000000" w:fill="FFFFFF"/>
            <w:vAlign w:val="center"/>
            <w:hideMark/>
          </w:tcPr>
          <w:p w14:paraId="5F63D797"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107,561</w:t>
            </w:r>
          </w:p>
        </w:tc>
        <w:tc>
          <w:tcPr>
            <w:tcW w:w="0" w:type="auto"/>
            <w:tcBorders>
              <w:top w:val="nil"/>
              <w:left w:val="nil"/>
              <w:bottom w:val="single" w:sz="4" w:space="0" w:color="auto"/>
              <w:right w:val="single" w:sz="4" w:space="0" w:color="auto"/>
            </w:tcBorders>
            <w:shd w:val="clear" w:color="000000" w:fill="FFFFFF"/>
            <w:vAlign w:val="center"/>
            <w:hideMark/>
          </w:tcPr>
          <w:p w14:paraId="1452A056"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118,944</w:t>
            </w:r>
          </w:p>
        </w:tc>
        <w:tc>
          <w:tcPr>
            <w:tcW w:w="0" w:type="auto"/>
            <w:tcBorders>
              <w:top w:val="nil"/>
              <w:left w:val="nil"/>
              <w:bottom w:val="single" w:sz="4" w:space="0" w:color="auto"/>
              <w:right w:val="single" w:sz="4" w:space="0" w:color="auto"/>
            </w:tcBorders>
            <w:shd w:val="clear" w:color="000000" w:fill="FFFFFF"/>
            <w:vAlign w:val="center"/>
            <w:hideMark/>
          </w:tcPr>
          <w:p w14:paraId="40DDCCF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11,383</w:t>
            </w:r>
          </w:p>
        </w:tc>
        <w:tc>
          <w:tcPr>
            <w:tcW w:w="0" w:type="auto"/>
            <w:tcBorders>
              <w:top w:val="nil"/>
              <w:left w:val="nil"/>
              <w:bottom w:val="single" w:sz="4" w:space="0" w:color="auto"/>
              <w:right w:val="single" w:sz="4" w:space="0" w:color="auto"/>
            </w:tcBorders>
            <w:shd w:val="clear" w:color="000000" w:fill="FFFFFF"/>
            <w:vAlign w:val="center"/>
            <w:hideMark/>
          </w:tcPr>
          <w:p w14:paraId="180D3C1C"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11%</w:t>
            </w:r>
          </w:p>
        </w:tc>
        <w:tc>
          <w:tcPr>
            <w:tcW w:w="0" w:type="auto"/>
            <w:tcBorders>
              <w:top w:val="nil"/>
              <w:left w:val="nil"/>
              <w:bottom w:val="single" w:sz="4" w:space="0" w:color="auto"/>
              <w:right w:val="single" w:sz="4" w:space="0" w:color="auto"/>
            </w:tcBorders>
            <w:shd w:val="clear" w:color="000000" w:fill="FFFFFF"/>
            <w:vAlign w:val="center"/>
            <w:hideMark/>
          </w:tcPr>
          <w:p w14:paraId="4EC7B4DE"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w:t>
            </w:r>
          </w:p>
        </w:tc>
        <w:tc>
          <w:tcPr>
            <w:tcW w:w="0" w:type="auto"/>
            <w:tcBorders>
              <w:top w:val="nil"/>
              <w:left w:val="nil"/>
              <w:bottom w:val="single" w:sz="4" w:space="0" w:color="auto"/>
              <w:right w:val="single" w:sz="4" w:space="0" w:color="auto"/>
            </w:tcBorders>
            <w:shd w:val="clear" w:color="000000" w:fill="FFFFFF"/>
            <w:vAlign w:val="center"/>
            <w:hideMark/>
          </w:tcPr>
          <w:p w14:paraId="5E72996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10.0</w:t>
            </w:r>
          </w:p>
        </w:tc>
      </w:tr>
      <w:tr w:rsidR="00A308B3" w:rsidRPr="00376672" w14:paraId="64CD2517" w14:textId="77777777">
        <w:trPr>
          <w:trHeight w:val="383"/>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480DC90"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Runnymede</w:t>
            </w:r>
          </w:p>
        </w:tc>
        <w:tc>
          <w:tcPr>
            <w:tcW w:w="0" w:type="auto"/>
            <w:tcBorders>
              <w:top w:val="nil"/>
              <w:left w:val="nil"/>
              <w:bottom w:val="single" w:sz="4" w:space="0" w:color="auto"/>
              <w:right w:val="single" w:sz="4" w:space="0" w:color="auto"/>
            </w:tcBorders>
            <w:shd w:val="clear" w:color="000000" w:fill="FFFFFF"/>
            <w:vAlign w:val="center"/>
            <w:hideMark/>
          </w:tcPr>
          <w:p w14:paraId="7E9A4E2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61,125</w:t>
            </w:r>
          </w:p>
        </w:tc>
        <w:tc>
          <w:tcPr>
            <w:tcW w:w="0" w:type="auto"/>
            <w:tcBorders>
              <w:top w:val="nil"/>
              <w:left w:val="nil"/>
              <w:bottom w:val="single" w:sz="4" w:space="0" w:color="auto"/>
              <w:right w:val="single" w:sz="4" w:space="0" w:color="auto"/>
            </w:tcBorders>
            <w:shd w:val="clear" w:color="000000" w:fill="FFFFFF"/>
            <w:vAlign w:val="center"/>
            <w:hideMark/>
          </w:tcPr>
          <w:p w14:paraId="00B5708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66,756</w:t>
            </w:r>
          </w:p>
        </w:tc>
        <w:tc>
          <w:tcPr>
            <w:tcW w:w="0" w:type="auto"/>
            <w:tcBorders>
              <w:top w:val="nil"/>
              <w:left w:val="nil"/>
              <w:bottom w:val="single" w:sz="4" w:space="0" w:color="auto"/>
              <w:right w:val="single" w:sz="4" w:space="0" w:color="auto"/>
            </w:tcBorders>
            <w:shd w:val="clear" w:color="000000" w:fill="FFFFFF"/>
            <w:vAlign w:val="center"/>
            <w:hideMark/>
          </w:tcPr>
          <w:p w14:paraId="4BAAF22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5,631</w:t>
            </w:r>
          </w:p>
        </w:tc>
        <w:tc>
          <w:tcPr>
            <w:tcW w:w="0" w:type="auto"/>
            <w:tcBorders>
              <w:top w:val="nil"/>
              <w:left w:val="nil"/>
              <w:bottom w:val="single" w:sz="4" w:space="0" w:color="auto"/>
              <w:right w:val="single" w:sz="4" w:space="0" w:color="auto"/>
            </w:tcBorders>
            <w:shd w:val="clear" w:color="000000" w:fill="FFFFFF"/>
            <w:vAlign w:val="center"/>
            <w:hideMark/>
          </w:tcPr>
          <w:p w14:paraId="781815A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w:t>
            </w:r>
          </w:p>
        </w:tc>
        <w:tc>
          <w:tcPr>
            <w:tcW w:w="0" w:type="auto"/>
            <w:tcBorders>
              <w:top w:val="nil"/>
              <w:left w:val="nil"/>
              <w:bottom w:val="single" w:sz="4" w:space="0" w:color="auto"/>
              <w:right w:val="single" w:sz="4" w:space="0" w:color="auto"/>
            </w:tcBorders>
            <w:shd w:val="clear" w:color="000000" w:fill="FFFFFF"/>
            <w:vAlign w:val="center"/>
            <w:hideMark/>
          </w:tcPr>
          <w:p w14:paraId="4F03DDBE"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w:t>
            </w:r>
          </w:p>
        </w:tc>
        <w:tc>
          <w:tcPr>
            <w:tcW w:w="0" w:type="auto"/>
            <w:tcBorders>
              <w:top w:val="nil"/>
              <w:left w:val="nil"/>
              <w:bottom w:val="single" w:sz="4" w:space="0" w:color="auto"/>
              <w:right w:val="single" w:sz="4" w:space="0" w:color="auto"/>
            </w:tcBorders>
            <w:shd w:val="clear" w:color="000000" w:fill="FFFFFF"/>
            <w:vAlign w:val="center"/>
            <w:hideMark/>
          </w:tcPr>
          <w:p w14:paraId="625EAAD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5.6</w:t>
            </w:r>
          </w:p>
        </w:tc>
      </w:tr>
      <w:tr w:rsidR="00A308B3" w:rsidRPr="00376672" w14:paraId="33D266AB" w14:textId="77777777">
        <w:trPr>
          <w:trHeight w:val="383"/>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D14D087"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Spelthorne</w:t>
            </w:r>
          </w:p>
        </w:tc>
        <w:tc>
          <w:tcPr>
            <w:tcW w:w="0" w:type="auto"/>
            <w:tcBorders>
              <w:top w:val="nil"/>
              <w:left w:val="nil"/>
              <w:bottom w:val="single" w:sz="4" w:space="0" w:color="auto"/>
              <w:right w:val="single" w:sz="4" w:space="0" w:color="auto"/>
            </w:tcBorders>
            <w:shd w:val="clear" w:color="000000" w:fill="FFFFFF"/>
            <w:vAlign w:val="center"/>
            <w:hideMark/>
          </w:tcPr>
          <w:p w14:paraId="1290977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76,527</w:t>
            </w:r>
          </w:p>
        </w:tc>
        <w:tc>
          <w:tcPr>
            <w:tcW w:w="0" w:type="auto"/>
            <w:tcBorders>
              <w:top w:val="nil"/>
              <w:left w:val="nil"/>
              <w:bottom w:val="single" w:sz="4" w:space="0" w:color="auto"/>
              <w:right w:val="single" w:sz="4" w:space="0" w:color="auto"/>
            </w:tcBorders>
            <w:shd w:val="clear" w:color="000000" w:fill="FFFFFF"/>
            <w:vAlign w:val="center"/>
            <w:hideMark/>
          </w:tcPr>
          <w:p w14:paraId="500FBAEC"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82,143</w:t>
            </w:r>
          </w:p>
        </w:tc>
        <w:tc>
          <w:tcPr>
            <w:tcW w:w="0" w:type="auto"/>
            <w:tcBorders>
              <w:top w:val="nil"/>
              <w:left w:val="nil"/>
              <w:bottom w:val="single" w:sz="4" w:space="0" w:color="auto"/>
              <w:right w:val="single" w:sz="4" w:space="0" w:color="auto"/>
            </w:tcBorders>
            <w:shd w:val="clear" w:color="000000" w:fill="FFFFFF"/>
            <w:vAlign w:val="center"/>
            <w:hideMark/>
          </w:tcPr>
          <w:p w14:paraId="0682D1E5"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5,616</w:t>
            </w:r>
          </w:p>
        </w:tc>
        <w:tc>
          <w:tcPr>
            <w:tcW w:w="0" w:type="auto"/>
            <w:tcBorders>
              <w:top w:val="nil"/>
              <w:left w:val="nil"/>
              <w:bottom w:val="single" w:sz="4" w:space="0" w:color="auto"/>
              <w:right w:val="single" w:sz="4" w:space="0" w:color="auto"/>
            </w:tcBorders>
            <w:shd w:val="clear" w:color="000000" w:fill="FFFFFF"/>
            <w:vAlign w:val="center"/>
            <w:hideMark/>
          </w:tcPr>
          <w:p w14:paraId="63BAEFB8"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w:t>
            </w:r>
          </w:p>
        </w:tc>
        <w:tc>
          <w:tcPr>
            <w:tcW w:w="0" w:type="auto"/>
            <w:tcBorders>
              <w:top w:val="nil"/>
              <w:left w:val="nil"/>
              <w:bottom w:val="single" w:sz="4" w:space="0" w:color="auto"/>
              <w:right w:val="single" w:sz="4" w:space="0" w:color="auto"/>
            </w:tcBorders>
            <w:shd w:val="clear" w:color="000000" w:fill="FFFFFF"/>
            <w:vAlign w:val="center"/>
            <w:hideMark/>
          </w:tcPr>
          <w:p w14:paraId="158B422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w:t>
            </w:r>
          </w:p>
        </w:tc>
        <w:tc>
          <w:tcPr>
            <w:tcW w:w="0" w:type="auto"/>
            <w:tcBorders>
              <w:top w:val="nil"/>
              <w:left w:val="nil"/>
              <w:bottom w:val="single" w:sz="4" w:space="0" w:color="auto"/>
              <w:right w:val="single" w:sz="4" w:space="0" w:color="auto"/>
            </w:tcBorders>
            <w:shd w:val="clear" w:color="000000" w:fill="FFFFFF"/>
            <w:vAlign w:val="center"/>
            <w:hideMark/>
          </w:tcPr>
          <w:p w14:paraId="1A75C9FB"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6.9</w:t>
            </w:r>
          </w:p>
        </w:tc>
      </w:tr>
      <w:tr w:rsidR="00A308B3" w:rsidRPr="00376672" w14:paraId="56B9FFE4" w14:textId="7777777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9B988B6"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Surrey Heath</w:t>
            </w:r>
          </w:p>
        </w:tc>
        <w:tc>
          <w:tcPr>
            <w:tcW w:w="0" w:type="auto"/>
            <w:tcBorders>
              <w:top w:val="nil"/>
              <w:left w:val="nil"/>
              <w:bottom w:val="single" w:sz="4" w:space="0" w:color="auto"/>
              <w:right w:val="single" w:sz="4" w:space="0" w:color="auto"/>
            </w:tcBorders>
            <w:shd w:val="clear" w:color="000000" w:fill="FFFFFF"/>
            <w:noWrap/>
            <w:vAlign w:val="center"/>
            <w:hideMark/>
          </w:tcPr>
          <w:p w14:paraId="4DBE78B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67,873</w:t>
            </w:r>
          </w:p>
        </w:tc>
        <w:tc>
          <w:tcPr>
            <w:tcW w:w="0" w:type="auto"/>
            <w:tcBorders>
              <w:top w:val="nil"/>
              <w:left w:val="nil"/>
              <w:bottom w:val="single" w:sz="4" w:space="0" w:color="auto"/>
              <w:right w:val="single" w:sz="4" w:space="0" w:color="auto"/>
            </w:tcBorders>
            <w:shd w:val="clear" w:color="000000" w:fill="FFFFFF"/>
            <w:noWrap/>
            <w:vAlign w:val="center"/>
            <w:hideMark/>
          </w:tcPr>
          <w:p w14:paraId="1F2B0DEE"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73,830</w:t>
            </w:r>
          </w:p>
        </w:tc>
        <w:tc>
          <w:tcPr>
            <w:tcW w:w="0" w:type="auto"/>
            <w:tcBorders>
              <w:top w:val="nil"/>
              <w:left w:val="nil"/>
              <w:bottom w:val="single" w:sz="4" w:space="0" w:color="auto"/>
              <w:right w:val="single" w:sz="4" w:space="0" w:color="auto"/>
            </w:tcBorders>
            <w:shd w:val="clear" w:color="000000" w:fill="FFFFFF"/>
            <w:vAlign w:val="center"/>
            <w:hideMark/>
          </w:tcPr>
          <w:p w14:paraId="51C2356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5,957</w:t>
            </w:r>
          </w:p>
        </w:tc>
        <w:tc>
          <w:tcPr>
            <w:tcW w:w="0" w:type="auto"/>
            <w:tcBorders>
              <w:top w:val="nil"/>
              <w:left w:val="nil"/>
              <w:bottom w:val="single" w:sz="4" w:space="0" w:color="auto"/>
              <w:right w:val="single" w:sz="4" w:space="0" w:color="auto"/>
            </w:tcBorders>
            <w:shd w:val="clear" w:color="000000" w:fill="FFFFFF"/>
            <w:vAlign w:val="center"/>
            <w:hideMark/>
          </w:tcPr>
          <w:p w14:paraId="2288B23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w:t>
            </w:r>
          </w:p>
        </w:tc>
        <w:tc>
          <w:tcPr>
            <w:tcW w:w="0" w:type="auto"/>
            <w:tcBorders>
              <w:top w:val="nil"/>
              <w:left w:val="nil"/>
              <w:bottom w:val="single" w:sz="4" w:space="0" w:color="auto"/>
              <w:right w:val="single" w:sz="4" w:space="0" w:color="auto"/>
            </w:tcBorders>
            <w:shd w:val="clear" w:color="000000" w:fill="FFFFFF"/>
            <w:vAlign w:val="center"/>
            <w:hideMark/>
          </w:tcPr>
          <w:p w14:paraId="712A18C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w:t>
            </w:r>
          </w:p>
        </w:tc>
        <w:tc>
          <w:tcPr>
            <w:tcW w:w="0" w:type="auto"/>
            <w:tcBorders>
              <w:top w:val="nil"/>
              <w:left w:val="nil"/>
              <w:bottom w:val="single" w:sz="4" w:space="0" w:color="auto"/>
              <w:right w:val="single" w:sz="4" w:space="0" w:color="auto"/>
            </w:tcBorders>
            <w:shd w:val="clear" w:color="000000" w:fill="FFFFFF"/>
            <w:vAlign w:val="center"/>
            <w:hideMark/>
          </w:tcPr>
          <w:p w14:paraId="7706B0C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6.2</w:t>
            </w:r>
          </w:p>
        </w:tc>
      </w:tr>
      <w:tr w:rsidR="00A308B3" w:rsidRPr="00376672" w14:paraId="35FFC4B6" w14:textId="77777777">
        <w:trPr>
          <w:trHeight w:val="6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89AB00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Tandridge</w:t>
            </w:r>
          </w:p>
        </w:tc>
        <w:tc>
          <w:tcPr>
            <w:tcW w:w="0" w:type="auto"/>
            <w:tcBorders>
              <w:top w:val="nil"/>
              <w:left w:val="nil"/>
              <w:bottom w:val="single" w:sz="4" w:space="0" w:color="auto"/>
              <w:right w:val="single" w:sz="4" w:space="0" w:color="auto"/>
            </w:tcBorders>
            <w:shd w:val="clear" w:color="000000" w:fill="FFFFFF"/>
            <w:noWrap/>
            <w:vAlign w:val="center"/>
            <w:hideMark/>
          </w:tcPr>
          <w:p w14:paraId="21610E50"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65,461</w:t>
            </w:r>
          </w:p>
        </w:tc>
        <w:tc>
          <w:tcPr>
            <w:tcW w:w="0" w:type="auto"/>
            <w:tcBorders>
              <w:top w:val="nil"/>
              <w:left w:val="nil"/>
              <w:bottom w:val="single" w:sz="4" w:space="0" w:color="auto"/>
              <w:right w:val="single" w:sz="4" w:space="0" w:color="auto"/>
            </w:tcBorders>
            <w:shd w:val="clear" w:color="000000" w:fill="FFFFFF"/>
            <w:noWrap/>
            <w:vAlign w:val="center"/>
            <w:hideMark/>
          </w:tcPr>
          <w:p w14:paraId="236EC4E4"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70,760</w:t>
            </w:r>
          </w:p>
        </w:tc>
        <w:tc>
          <w:tcPr>
            <w:tcW w:w="0" w:type="auto"/>
            <w:tcBorders>
              <w:top w:val="nil"/>
              <w:left w:val="nil"/>
              <w:bottom w:val="single" w:sz="4" w:space="0" w:color="auto"/>
              <w:right w:val="single" w:sz="4" w:space="0" w:color="auto"/>
            </w:tcBorders>
            <w:shd w:val="clear" w:color="000000" w:fill="FFFFFF"/>
            <w:vAlign w:val="center"/>
            <w:hideMark/>
          </w:tcPr>
          <w:p w14:paraId="6B8430A6"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5,299</w:t>
            </w:r>
          </w:p>
        </w:tc>
        <w:tc>
          <w:tcPr>
            <w:tcW w:w="0" w:type="auto"/>
            <w:tcBorders>
              <w:top w:val="nil"/>
              <w:left w:val="nil"/>
              <w:bottom w:val="single" w:sz="4" w:space="0" w:color="auto"/>
              <w:right w:val="single" w:sz="4" w:space="0" w:color="auto"/>
            </w:tcBorders>
            <w:shd w:val="clear" w:color="000000" w:fill="FFFFFF"/>
            <w:vAlign w:val="center"/>
            <w:hideMark/>
          </w:tcPr>
          <w:p w14:paraId="494B37A1"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w:t>
            </w:r>
          </w:p>
        </w:tc>
        <w:tc>
          <w:tcPr>
            <w:tcW w:w="0" w:type="auto"/>
            <w:tcBorders>
              <w:top w:val="nil"/>
              <w:left w:val="nil"/>
              <w:bottom w:val="single" w:sz="4" w:space="0" w:color="auto"/>
              <w:right w:val="single" w:sz="4" w:space="0" w:color="auto"/>
            </w:tcBorders>
            <w:shd w:val="clear" w:color="000000" w:fill="FFFFFF"/>
            <w:vAlign w:val="center"/>
            <w:hideMark/>
          </w:tcPr>
          <w:p w14:paraId="65A207E8"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w:t>
            </w:r>
          </w:p>
        </w:tc>
        <w:tc>
          <w:tcPr>
            <w:tcW w:w="0" w:type="auto"/>
            <w:tcBorders>
              <w:top w:val="nil"/>
              <w:left w:val="nil"/>
              <w:bottom w:val="single" w:sz="4" w:space="0" w:color="auto"/>
              <w:right w:val="single" w:sz="4" w:space="0" w:color="auto"/>
            </w:tcBorders>
            <w:shd w:val="clear" w:color="000000" w:fill="FFFFFF"/>
            <w:vAlign w:val="center"/>
            <w:hideMark/>
          </w:tcPr>
          <w:p w14:paraId="1416491E"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5.9</w:t>
            </w:r>
          </w:p>
        </w:tc>
      </w:tr>
      <w:tr w:rsidR="00A308B3" w:rsidRPr="00376672" w14:paraId="778DEE2D" w14:textId="77777777">
        <w:trPr>
          <w:trHeight w:val="3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02A5887"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Waverley</w:t>
            </w:r>
          </w:p>
        </w:tc>
        <w:tc>
          <w:tcPr>
            <w:tcW w:w="0" w:type="auto"/>
            <w:tcBorders>
              <w:top w:val="nil"/>
              <w:left w:val="nil"/>
              <w:bottom w:val="single" w:sz="4" w:space="0" w:color="auto"/>
              <w:right w:val="single" w:sz="4" w:space="0" w:color="auto"/>
            </w:tcBorders>
            <w:shd w:val="clear" w:color="000000" w:fill="FFFFFF"/>
            <w:noWrap/>
            <w:vAlign w:val="center"/>
            <w:hideMark/>
          </w:tcPr>
          <w:p w14:paraId="639307C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95,373</w:t>
            </w:r>
          </w:p>
        </w:tc>
        <w:tc>
          <w:tcPr>
            <w:tcW w:w="0" w:type="auto"/>
            <w:tcBorders>
              <w:top w:val="nil"/>
              <w:left w:val="nil"/>
              <w:bottom w:val="single" w:sz="4" w:space="0" w:color="auto"/>
              <w:right w:val="single" w:sz="4" w:space="0" w:color="auto"/>
            </w:tcBorders>
            <w:shd w:val="clear" w:color="000000" w:fill="FFFFFF"/>
            <w:noWrap/>
            <w:vAlign w:val="center"/>
            <w:hideMark/>
          </w:tcPr>
          <w:p w14:paraId="1A9E9492"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100,246</w:t>
            </w:r>
          </w:p>
        </w:tc>
        <w:tc>
          <w:tcPr>
            <w:tcW w:w="0" w:type="auto"/>
            <w:tcBorders>
              <w:top w:val="nil"/>
              <w:left w:val="nil"/>
              <w:bottom w:val="single" w:sz="4" w:space="0" w:color="auto"/>
              <w:right w:val="single" w:sz="4" w:space="0" w:color="auto"/>
            </w:tcBorders>
            <w:shd w:val="clear" w:color="000000" w:fill="FFFFFF"/>
            <w:vAlign w:val="center"/>
            <w:hideMark/>
          </w:tcPr>
          <w:p w14:paraId="50B663C1"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4,873</w:t>
            </w:r>
          </w:p>
        </w:tc>
        <w:tc>
          <w:tcPr>
            <w:tcW w:w="0" w:type="auto"/>
            <w:tcBorders>
              <w:top w:val="nil"/>
              <w:left w:val="nil"/>
              <w:bottom w:val="single" w:sz="4" w:space="0" w:color="auto"/>
              <w:right w:val="single" w:sz="4" w:space="0" w:color="auto"/>
            </w:tcBorders>
            <w:shd w:val="clear" w:color="000000" w:fill="FFFFFF"/>
            <w:vAlign w:val="center"/>
            <w:hideMark/>
          </w:tcPr>
          <w:p w14:paraId="001DBE3B"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5%</w:t>
            </w:r>
          </w:p>
        </w:tc>
        <w:tc>
          <w:tcPr>
            <w:tcW w:w="0" w:type="auto"/>
            <w:tcBorders>
              <w:top w:val="nil"/>
              <w:left w:val="nil"/>
              <w:bottom w:val="single" w:sz="4" w:space="0" w:color="auto"/>
              <w:right w:val="single" w:sz="4" w:space="0" w:color="auto"/>
            </w:tcBorders>
            <w:shd w:val="clear" w:color="000000" w:fill="FFFFFF"/>
            <w:vAlign w:val="center"/>
            <w:hideMark/>
          </w:tcPr>
          <w:p w14:paraId="10178C1E"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w:t>
            </w:r>
          </w:p>
        </w:tc>
        <w:tc>
          <w:tcPr>
            <w:tcW w:w="0" w:type="auto"/>
            <w:tcBorders>
              <w:top w:val="nil"/>
              <w:left w:val="nil"/>
              <w:bottom w:val="single" w:sz="4" w:space="0" w:color="auto"/>
              <w:right w:val="single" w:sz="4" w:space="0" w:color="auto"/>
            </w:tcBorders>
            <w:shd w:val="clear" w:color="000000" w:fill="FFFFFF"/>
            <w:vAlign w:val="center"/>
            <w:hideMark/>
          </w:tcPr>
          <w:p w14:paraId="72671498"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8.4</w:t>
            </w:r>
          </w:p>
        </w:tc>
      </w:tr>
      <w:tr w:rsidR="00A308B3" w:rsidRPr="00376672" w14:paraId="0ECA7022" w14:textId="77777777">
        <w:trPr>
          <w:trHeight w:val="64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F73A66"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Woking</w:t>
            </w:r>
          </w:p>
        </w:tc>
        <w:tc>
          <w:tcPr>
            <w:tcW w:w="0" w:type="auto"/>
            <w:tcBorders>
              <w:top w:val="nil"/>
              <w:left w:val="nil"/>
              <w:bottom w:val="single" w:sz="4" w:space="0" w:color="auto"/>
              <w:right w:val="single" w:sz="4" w:space="0" w:color="auto"/>
            </w:tcBorders>
            <w:shd w:val="clear" w:color="000000" w:fill="FFFFFF"/>
            <w:noWrap/>
            <w:vAlign w:val="center"/>
            <w:hideMark/>
          </w:tcPr>
          <w:p w14:paraId="19880CE2"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74,031</w:t>
            </w:r>
          </w:p>
        </w:tc>
        <w:tc>
          <w:tcPr>
            <w:tcW w:w="0" w:type="auto"/>
            <w:tcBorders>
              <w:top w:val="nil"/>
              <w:left w:val="nil"/>
              <w:bottom w:val="single" w:sz="4" w:space="0" w:color="auto"/>
              <w:right w:val="single" w:sz="4" w:space="0" w:color="auto"/>
            </w:tcBorders>
            <w:shd w:val="clear" w:color="000000" w:fill="FFFFFF"/>
            <w:noWrap/>
            <w:vAlign w:val="center"/>
            <w:hideMark/>
          </w:tcPr>
          <w:p w14:paraId="13630BED"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80,691</w:t>
            </w:r>
          </w:p>
        </w:tc>
        <w:tc>
          <w:tcPr>
            <w:tcW w:w="0" w:type="auto"/>
            <w:tcBorders>
              <w:top w:val="nil"/>
              <w:left w:val="nil"/>
              <w:bottom w:val="single" w:sz="4" w:space="0" w:color="auto"/>
              <w:right w:val="single" w:sz="4" w:space="0" w:color="auto"/>
            </w:tcBorders>
            <w:shd w:val="clear" w:color="000000" w:fill="FFFFFF"/>
            <w:vAlign w:val="center"/>
            <w:hideMark/>
          </w:tcPr>
          <w:p w14:paraId="59CD440F"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6,660</w:t>
            </w:r>
          </w:p>
        </w:tc>
        <w:tc>
          <w:tcPr>
            <w:tcW w:w="0" w:type="auto"/>
            <w:tcBorders>
              <w:top w:val="nil"/>
              <w:left w:val="nil"/>
              <w:bottom w:val="single" w:sz="4" w:space="0" w:color="auto"/>
              <w:right w:val="single" w:sz="4" w:space="0" w:color="auto"/>
            </w:tcBorders>
            <w:shd w:val="clear" w:color="000000" w:fill="FFFFFF"/>
            <w:vAlign w:val="center"/>
            <w:hideMark/>
          </w:tcPr>
          <w:p w14:paraId="32B8DFCC"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w:t>
            </w:r>
          </w:p>
        </w:tc>
        <w:tc>
          <w:tcPr>
            <w:tcW w:w="0" w:type="auto"/>
            <w:tcBorders>
              <w:top w:val="nil"/>
              <w:left w:val="nil"/>
              <w:bottom w:val="single" w:sz="4" w:space="0" w:color="auto"/>
              <w:right w:val="single" w:sz="4" w:space="0" w:color="auto"/>
            </w:tcBorders>
            <w:shd w:val="clear" w:color="000000" w:fill="FFFFFF"/>
            <w:vAlign w:val="center"/>
            <w:hideMark/>
          </w:tcPr>
          <w:p w14:paraId="796E619C"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7</w:t>
            </w:r>
          </w:p>
        </w:tc>
        <w:tc>
          <w:tcPr>
            <w:tcW w:w="0" w:type="auto"/>
            <w:tcBorders>
              <w:top w:val="nil"/>
              <w:left w:val="nil"/>
              <w:bottom w:val="single" w:sz="4" w:space="0" w:color="auto"/>
              <w:right w:val="single" w:sz="4" w:space="0" w:color="auto"/>
            </w:tcBorders>
            <w:shd w:val="clear" w:color="000000" w:fill="FFFFFF"/>
            <w:vAlign w:val="center"/>
            <w:hideMark/>
          </w:tcPr>
          <w:p w14:paraId="1AA388F9"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6.8</w:t>
            </w:r>
          </w:p>
        </w:tc>
      </w:tr>
      <w:tr w:rsidR="00A308B3" w:rsidRPr="00376672" w14:paraId="2E606632" w14:textId="77777777">
        <w:trPr>
          <w:trHeight w:val="31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73C7A42"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Guildford</w:t>
            </w:r>
          </w:p>
        </w:tc>
        <w:tc>
          <w:tcPr>
            <w:tcW w:w="0" w:type="auto"/>
            <w:tcBorders>
              <w:top w:val="nil"/>
              <w:left w:val="nil"/>
              <w:bottom w:val="single" w:sz="4" w:space="0" w:color="auto"/>
              <w:right w:val="single" w:sz="4" w:space="0" w:color="auto"/>
            </w:tcBorders>
            <w:shd w:val="clear" w:color="000000" w:fill="FFFFFF"/>
            <w:noWrap/>
            <w:vAlign w:val="center"/>
            <w:hideMark/>
          </w:tcPr>
          <w:p w14:paraId="362AE867"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101,982</w:t>
            </w:r>
          </w:p>
        </w:tc>
        <w:tc>
          <w:tcPr>
            <w:tcW w:w="0" w:type="auto"/>
            <w:tcBorders>
              <w:top w:val="nil"/>
              <w:left w:val="nil"/>
              <w:bottom w:val="single" w:sz="4" w:space="0" w:color="auto"/>
              <w:right w:val="single" w:sz="4" w:space="0" w:color="auto"/>
            </w:tcBorders>
            <w:shd w:val="clear" w:color="000000" w:fill="FFFFFF"/>
            <w:noWrap/>
            <w:vAlign w:val="center"/>
            <w:hideMark/>
          </w:tcPr>
          <w:p w14:paraId="27229AA0"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123,958</w:t>
            </w:r>
          </w:p>
        </w:tc>
        <w:tc>
          <w:tcPr>
            <w:tcW w:w="0" w:type="auto"/>
            <w:tcBorders>
              <w:top w:val="nil"/>
              <w:left w:val="nil"/>
              <w:bottom w:val="single" w:sz="4" w:space="0" w:color="auto"/>
              <w:right w:val="single" w:sz="4" w:space="0" w:color="auto"/>
            </w:tcBorders>
            <w:shd w:val="clear" w:color="000000" w:fill="FFFFFF"/>
            <w:vAlign w:val="center"/>
            <w:hideMark/>
          </w:tcPr>
          <w:p w14:paraId="7592B27B"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21,976</w:t>
            </w:r>
          </w:p>
        </w:tc>
        <w:tc>
          <w:tcPr>
            <w:tcW w:w="0" w:type="auto"/>
            <w:tcBorders>
              <w:top w:val="nil"/>
              <w:left w:val="nil"/>
              <w:bottom w:val="single" w:sz="4" w:space="0" w:color="auto"/>
              <w:right w:val="single" w:sz="4" w:space="0" w:color="auto"/>
            </w:tcBorders>
            <w:shd w:val="clear" w:color="000000" w:fill="FFFFFF"/>
            <w:vAlign w:val="center"/>
            <w:hideMark/>
          </w:tcPr>
          <w:p w14:paraId="17D60808"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22%</w:t>
            </w:r>
          </w:p>
        </w:tc>
        <w:tc>
          <w:tcPr>
            <w:tcW w:w="0" w:type="auto"/>
            <w:tcBorders>
              <w:top w:val="nil"/>
              <w:left w:val="nil"/>
              <w:bottom w:val="single" w:sz="4" w:space="0" w:color="auto"/>
              <w:right w:val="single" w:sz="4" w:space="0" w:color="auto"/>
            </w:tcBorders>
            <w:shd w:val="clear" w:color="000000" w:fill="FFFFFF"/>
            <w:vAlign w:val="center"/>
            <w:hideMark/>
          </w:tcPr>
          <w:p w14:paraId="08FECB6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w:t>
            </w:r>
          </w:p>
        </w:tc>
        <w:tc>
          <w:tcPr>
            <w:tcW w:w="0" w:type="auto"/>
            <w:tcBorders>
              <w:top w:val="nil"/>
              <w:left w:val="nil"/>
              <w:bottom w:val="single" w:sz="4" w:space="0" w:color="auto"/>
              <w:right w:val="single" w:sz="4" w:space="0" w:color="auto"/>
            </w:tcBorders>
            <w:shd w:val="clear" w:color="000000" w:fill="FFFFFF"/>
            <w:vAlign w:val="center"/>
            <w:hideMark/>
          </w:tcPr>
          <w:p w14:paraId="31CD5C7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10.4</w:t>
            </w:r>
          </w:p>
        </w:tc>
      </w:tr>
      <w:tr w:rsidR="00A308B3" w:rsidRPr="00376672" w14:paraId="63370EC9" w14:textId="77777777">
        <w:trPr>
          <w:trHeight w:val="310"/>
        </w:trPr>
        <w:tc>
          <w:tcPr>
            <w:tcW w:w="0" w:type="auto"/>
            <w:tcBorders>
              <w:top w:val="nil"/>
              <w:left w:val="single" w:sz="4" w:space="0" w:color="auto"/>
              <w:bottom w:val="single" w:sz="4" w:space="0" w:color="auto"/>
              <w:right w:val="single" w:sz="4" w:space="0" w:color="auto"/>
            </w:tcBorders>
            <w:shd w:val="clear" w:color="000000" w:fill="D0CECE"/>
            <w:vAlign w:val="center"/>
            <w:hideMark/>
          </w:tcPr>
          <w:p w14:paraId="433D4B67"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Totals</w:t>
            </w:r>
          </w:p>
        </w:tc>
        <w:tc>
          <w:tcPr>
            <w:tcW w:w="0" w:type="auto"/>
            <w:tcBorders>
              <w:top w:val="nil"/>
              <w:left w:val="nil"/>
              <w:bottom w:val="single" w:sz="4" w:space="0" w:color="auto"/>
              <w:right w:val="single" w:sz="4" w:space="0" w:color="auto"/>
            </w:tcBorders>
            <w:shd w:val="clear" w:color="000000" w:fill="D0CECE"/>
            <w:noWrap/>
            <w:vAlign w:val="center"/>
            <w:hideMark/>
          </w:tcPr>
          <w:p w14:paraId="218293F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876,994</w:t>
            </w:r>
          </w:p>
        </w:tc>
        <w:tc>
          <w:tcPr>
            <w:tcW w:w="0" w:type="auto"/>
            <w:tcBorders>
              <w:top w:val="nil"/>
              <w:left w:val="nil"/>
              <w:bottom w:val="single" w:sz="4" w:space="0" w:color="auto"/>
              <w:right w:val="single" w:sz="4" w:space="0" w:color="auto"/>
            </w:tcBorders>
            <w:shd w:val="clear" w:color="000000" w:fill="D0CECE"/>
            <w:noWrap/>
            <w:vAlign w:val="center"/>
            <w:hideMark/>
          </w:tcPr>
          <w:p w14:paraId="2972897A"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964,825</w:t>
            </w:r>
          </w:p>
        </w:tc>
        <w:tc>
          <w:tcPr>
            <w:tcW w:w="0" w:type="auto"/>
            <w:tcBorders>
              <w:top w:val="nil"/>
              <w:left w:val="nil"/>
              <w:bottom w:val="single" w:sz="4" w:space="0" w:color="auto"/>
              <w:right w:val="single" w:sz="4" w:space="0" w:color="auto"/>
            </w:tcBorders>
            <w:shd w:val="clear" w:color="000000" w:fill="D0CECE"/>
            <w:noWrap/>
            <w:vAlign w:val="center"/>
            <w:hideMark/>
          </w:tcPr>
          <w:p w14:paraId="2A10C9A4" w14:textId="77777777" w:rsidR="00A308B3" w:rsidRPr="00376672" w:rsidRDefault="00A308B3">
            <w:pPr>
              <w:overflowPunct/>
              <w:autoSpaceDE/>
              <w:autoSpaceDN/>
              <w:adjustRightInd/>
              <w:jc w:val="center"/>
              <w:textAlignment w:val="auto"/>
              <w:rPr>
                <w:rFonts w:cs="Arial"/>
                <w:b/>
                <w:bCs/>
                <w:color w:val="000000"/>
                <w:sz w:val="20"/>
                <w:lang w:eastAsia="en-GB"/>
              </w:rPr>
            </w:pPr>
            <w:r w:rsidRPr="00376672">
              <w:rPr>
                <w:rFonts w:cs="Arial"/>
                <w:b/>
                <w:bCs/>
                <w:color w:val="000000"/>
                <w:sz w:val="20"/>
                <w:lang w:eastAsia="en-GB"/>
              </w:rPr>
              <w:t>87,831</w:t>
            </w:r>
          </w:p>
        </w:tc>
        <w:tc>
          <w:tcPr>
            <w:tcW w:w="0" w:type="auto"/>
            <w:tcBorders>
              <w:top w:val="nil"/>
              <w:left w:val="nil"/>
              <w:bottom w:val="single" w:sz="4" w:space="0" w:color="auto"/>
              <w:right w:val="single" w:sz="4" w:space="0" w:color="auto"/>
            </w:tcBorders>
            <w:shd w:val="clear" w:color="000000" w:fill="D0CECE"/>
            <w:noWrap/>
            <w:vAlign w:val="center"/>
            <w:hideMark/>
          </w:tcPr>
          <w:p w14:paraId="61145485"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10%</w:t>
            </w:r>
            <w:r>
              <w:rPr>
                <w:rFonts w:cs="Arial"/>
                <w:b/>
                <w:bCs/>
                <w:sz w:val="20"/>
                <w:lang w:eastAsia="en-GB"/>
              </w:rPr>
              <w:t>**</w:t>
            </w:r>
          </w:p>
        </w:tc>
        <w:tc>
          <w:tcPr>
            <w:tcW w:w="0" w:type="auto"/>
            <w:tcBorders>
              <w:top w:val="nil"/>
              <w:left w:val="nil"/>
              <w:bottom w:val="single" w:sz="4" w:space="0" w:color="auto"/>
              <w:right w:val="single" w:sz="4" w:space="0" w:color="auto"/>
            </w:tcBorders>
            <w:shd w:val="clear" w:color="000000" w:fill="D0CECE"/>
            <w:noWrap/>
            <w:vAlign w:val="center"/>
            <w:hideMark/>
          </w:tcPr>
          <w:p w14:paraId="63FB5824"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81</w:t>
            </w:r>
          </w:p>
        </w:tc>
        <w:tc>
          <w:tcPr>
            <w:tcW w:w="0" w:type="auto"/>
            <w:tcBorders>
              <w:top w:val="nil"/>
              <w:left w:val="nil"/>
              <w:bottom w:val="single" w:sz="4" w:space="0" w:color="auto"/>
              <w:right w:val="single" w:sz="4" w:space="0" w:color="auto"/>
            </w:tcBorders>
            <w:shd w:val="clear" w:color="000000" w:fill="D0CECE"/>
            <w:noWrap/>
            <w:vAlign w:val="center"/>
            <w:hideMark/>
          </w:tcPr>
          <w:p w14:paraId="3C715783" w14:textId="77777777" w:rsidR="00A308B3" w:rsidRPr="00376672" w:rsidRDefault="00A308B3">
            <w:pPr>
              <w:overflowPunct/>
              <w:autoSpaceDE/>
              <w:autoSpaceDN/>
              <w:adjustRightInd/>
              <w:jc w:val="center"/>
              <w:textAlignment w:val="auto"/>
              <w:rPr>
                <w:rFonts w:cs="Arial"/>
                <w:b/>
                <w:bCs/>
                <w:sz w:val="20"/>
                <w:lang w:eastAsia="en-GB"/>
              </w:rPr>
            </w:pPr>
            <w:r w:rsidRPr="00376672">
              <w:rPr>
                <w:rFonts w:cs="Arial"/>
                <w:b/>
                <w:bCs/>
                <w:sz w:val="20"/>
                <w:lang w:eastAsia="en-GB"/>
              </w:rPr>
              <w:t>81</w:t>
            </w:r>
          </w:p>
        </w:tc>
      </w:tr>
    </w:tbl>
    <w:p w14:paraId="3DBC8C68" w14:textId="77777777" w:rsidR="00997842" w:rsidRPr="00D33856" w:rsidRDefault="00997842" w:rsidP="00997842">
      <w:pPr>
        <w:rPr>
          <w:szCs w:val="22"/>
        </w:rPr>
      </w:pPr>
      <w:bookmarkStart w:id="2" w:name="_Hlk127952217"/>
      <w:bookmarkEnd w:id="1"/>
      <w:r w:rsidRPr="00D33856">
        <w:rPr>
          <w:rFonts w:cs="Arial"/>
          <w:b/>
          <w:bCs/>
          <w:szCs w:val="22"/>
          <w:lang w:eastAsia="en-GB"/>
        </w:rPr>
        <w:t xml:space="preserve">* </w:t>
      </w:r>
      <w:r w:rsidRPr="00376672">
        <w:rPr>
          <w:rFonts w:cs="Arial"/>
          <w:szCs w:val="22"/>
          <w:lang w:eastAsia="en-GB"/>
        </w:rPr>
        <w:t>(overall electorate 2029/Avg electorate per councillor (11,911)</w:t>
      </w:r>
      <w:r w:rsidRPr="00D33856">
        <w:rPr>
          <w:rFonts w:cs="Arial"/>
          <w:szCs w:val="22"/>
          <w:lang w:eastAsia="en-GB"/>
        </w:rPr>
        <w:t>.</w:t>
      </w:r>
    </w:p>
    <w:p w14:paraId="056339CB" w14:textId="77777777" w:rsidR="00997842" w:rsidRPr="00D33856" w:rsidRDefault="00997842" w:rsidP="00997842">
      <w:pPr>
        <w:rPr>
          <w:szCs w:val="22"/>
        </w:rPr>
      </w:pPr>
      <w:r w:rsidRPr="00D33856">
        <w:rPr>
          <w:szCs w:val="22"/>
        </w:rPr>
        <w:t>** Average % increase across all D&amp;Bs.</w:t>
      </w:r>
    </w:p>
    <w:bookmarkEnd w:id="2"/>
    <w:p w14:paraId="4124C666" w14:textId="77777777" w:rsidR="008256AD" w:rsidRPr="00B65632" w:rsidRDefault="008256AD">
      <w:pPr>
        <w:rPr>
          <w:highlight w:val="yellow"/>
        </w:rPr>
      </w:pPr>
    </w:p>
    <w:p w14:paraId="370E8BD7" w14:textId="77777777" w:rsidR="008256AD" w:rsidRPr="00644D90" w:rsidRDefault="008256AD"/>
    <w:p w14:paraId="4417809C" w14:textId="5BD623BB" w:rsidR="008256AD" w:rsidRPr="00644D90" w:rsidRDefault="009F32FF">
      <w:pPr>
        <w:pStyle w:val="Heading2"/>
        <w:rPr>
          <w:rFonts w:cs="Arial"/>
        </w:rPr>
      </w:pPr>
      <w:r w:rsidRPr="00644D90">
        <w:t>As stated above, ideally each division would represent an electorate of 11,911.  However, given that divisions cannot cross district and borough boundaries, this is not possible</w:t>
      </w:r>
      <w:r w:rsidR="00DE240B">
        <w:t>. Therefore,</w:t>
      </w:r>
      <w:r w:rsidRPr="00644D90">
        <w:t xml:space="preserve"> the proposal is to aim for as close as possible to electoral equality within each district and borough area (i.e. divide the total electorate for the district/borough area by the number of divisions proposed).  If this were achieved, all 81 divisions would then fall within the 10% tolerance level the Commission is looking for.</w:t>
      </w:r>
    </w:p>
    <w:p w14:paraId="218D7D22" w14:textId="77777777" w:rsidR="008256AD" w:rsidRDefault="008256AD"/>
    <w:p w14:paraId="4C0656D8" w14:textId="77777777" w:rsidR="008256AD" w:rsidRDefault="008256AD"/>
    <w:p w14:paraId="2A3E7FFA" w14:textId="77777777" w:rsidR="008256AD" w:rsidRDefault="008256AD">
      <w:pPr>
        <w:pStyle w:val="Heading2"/>
        <w:numPr>
          <w:ilvl w:val="0"/>
          <w:numId w:val="0"/>
        </w:numPr>
        <w:rPr>
          <w:b/>
          <w:bCs w:val="0"/>
        </w:rPr>
      </w:pPr>
      <w:r>
        <w:rPr>
          <w:b/>
          <w:bCs w:val="0"/>
        </w:rPr>
        <w:t>Pattern of Divisions</w:t>
      </w:r>
    </w:p>
    <w:p w14:paraId="3AC055B0" w14:textId="77777777" w:rsidR="008256AD" w:rsidRDefault="008256AD"/>
    <w:p w14:paraId="7FA41FCB" w14:textId="77777777" w:rsidR="008256AD" w:rsidRDefault="008256AD">
      <w:pPr>
        <w:pStyle w:val="Heading2"/>
      </w:pPr>
      <w:r>
        <w:t xml:space="preserve">The Council’s proposed pattern of divisions includes 81 single Member divisions distributed across the district and borough areas in line with the above table.  It should be recognised that no solution will be perfect nor will it be unanimously accepted as the criteria, in some cases, compete with each other and a solution which provides good electoral equality may not always best support the local communities.  This proposal seeks to provide the best balance against all three of the Commission’s key criteria.  </w:t>
      </w:r>
    </w:p>
    <w:p w14:paraId="5664AD4D" w14:textId="77777777" w:rsidR="008256AD" w:rsidRDefault="008256AD">
      <w:pPr>
        <w:pStyle w:val="Heading2"/>
        <w:numPr>
          <w:ilvl w:val="0"/>
          <w:numId w:val="0"/>
        </w:numPr>
      </w:pPr>
    </w:p>
    <w:p w14:paraId="4C4E16F1" w14:textId="71EB4CE6" w:rsidR="008256AD" w:rsidRDefault="008256AD" w:rsidP="0094496B">
      <w:pPr>
        <w:pStyle w:val="Heading2"/>
      </w:pPr>
      <w:r>
        <w:t>The tables on the following pages provide the detail for each division</w:t>
      </w:r>
      <w:r w:rsidR="0094496B">
        <w:t xml:space="preserve">. </w:t>
      </w:r>
      <w:r w:rsidR="00850D10">
        <w:t>A</w:t>
      </w:r>
      <w:r w:rsidR="00742D50">
        <w:t xml:space="preserve">s stated above, in some areas the task group has presented a number of options to the Comission, rather than one final scheme. Maps for each area are included as an Appendix. </w:t>
      </w:r>
    </w:p>
    <w:p w14:paraId="3C44B62C" w14:textId="77777777" w:rsidR="008256AD" w:rsidRDefault="008256AD">
      <w:pPr>
        <w:pStyle w:val="Header"/>
        <w:tabs>
          <w:tab w:val="clear" w:pos="4153"/>
          <w:tab w:val="clear" w:pos="8306"/>
        </w:tabs>
      </w:pPr>
    </w:p>
    <w:p w14:paraId="330D778C" w14:textId="71CA8E2B" w:rsidR="008256AD" w:rsidRDefault="008256AD">
      <w:pPr>
        <w:pStyle w:val="Heading2"/>
      </w:pPr>
      <w:r>
        <w:t xml:space="preserve">The Council asks the Commission to strongly consider these in their deliberations during </w:t>
      </w:r>
      <w:r w:rsidR="00E94BE8">
        <w:t>phase two</w:t>
      </w:r>
      <w:r>
        <w:t xml:space="preserve"> of the review and is happy to provide further evidence to support these proposals if required.   </w:t>
      </w:r>
    </w:p>
    <w:p w14:paraId="2BD1334F" w14:textId="77777777" w:rsidR="0094496B" w:rsidRDefault="0094496B" w:rsidP="0094496B"/>
    <w:p w14:paraId="7FEE6B2B" w14:textId="75DA07CE" w:rsidR="0094496B" w:rsidRDefault="0094496B" w:rsidP="0094496B">
      <w:pPr>
        <w:rPr>
          <w:b/>
          <w:bCs/>
        </w:rPr>
      </w:pPr>
      <w:r>
        <w:rPr>
          <w:b/>
          <w:bCs/>
        </w:rPr>
        <w:t>Additional Comments</w:t>
      </w:r>
    </w:p>
    <w:p w14:paraId="34536050" w14:textId="77777777" w:rsidR="0094496B" w:rsidRDefault="0094496B" w:rsidP="0094496B">
      <w:pPr>
        <w:rPr>
          <w:b/>
          <w:bCs/>
        </w:rPr>
      </w:pPr>
    </w:p>
    <w:p w14:paraId="65CE3368" w14:textId="77653629" w:rsidR="0094496B" w:rsidRDefault="00D170C1" w:rsidP="008B6D4D">
      <w:pPr>
        <w:pStyle w:val="Heading2"/>
      </w:pPr>
      <w:r>
        <w:t xml:space="preserve">The review of Surrey County Council has taken place at a time where a number of </w:t>
      </w:r>
      <w:r w:rsidR="00851A17">
        <w:t>Surrey’s</w:t>
      </w:r>
      <w:r>
        <w:t xml:space="preserve"> District and Borough Councils are at different stages of their own reviews. This has</w:t>
      </w:r>
      <w:r w:rsidR="00987AE6">
        <w:t xml:space="preserve"> made the review more difficult</w:t>
      </w:r>
      <w:r>
        <w:t xml:space="preserve">, for example </w:t>
      </w:r>
      <w:r w:rsidR="00987AE6">
        <w:t>through</w:t>
      </w:r>
      <w:r>
        <w:t xml:space="preserve"> data being provided to us based upon old </w:t>
      </w:r>
      <w:r w:rsidR="00F952E8">
        <w:t>p</w:t>
      </w:r>
      <w:r>
        <w:t xml:space="preserve">olling </w:t>
      </w:r>
      <w:r w:rsidR="00F952E8">
        <w:t>d</w:t>
      </w:r>
      <w:r>
        <w:t xml:space="preserve">istricts that no longer exist. Although the </w:t>
      </w:r>
      <w:r w:rsidR="00987AE6">
        <w:t>C</w:t>
      </w:r>
      <w:r>
        <w:t xml:space="preserve">ommission states </w:t>
      </w:r>
      <w:r w:rsidR="00336AC8">
        <w:t xml:space="preserve">that the </w:t>
      </w:r>
      <w:r w:rsidR="00F952E8">
        <w:t>p</w:t>
      </w:r>
      <w:r w:rsidR="00336AC8">
        <w:t xml:space="preserve">olling </w:t>
      </w:r>
      <w:r w:rsidR="00F952E8">
        <w:t>d</w:t>
      </w:r>
      <w:r w:rsidR="00336AC8">
        <w:t xml:space="preserve">istricts are only small blocks of data and old/new </w:t>
      </w:r>
      <w:r w:rsidR="00F952E8">
        <w:t>p</w:t>
      </w:r>
      <w:r w:rsidR="00336AC8">
        <w:t xml:space="preserve">olling </w:t>
      </w:r>
      <w:r w:rsidR="00F952E8">
        <w:t>d</w:t>
      </w:r>
      <w:r w:rsidR="00336AC8">
        <w:t>istricts work equally as well, this has not been our experience in practice.</w:t>
      </w:r>
      <w:r w:rsidR="00523FD7">
        <w:t xml:space="preserve"> For example, old polling districts often tie in with old wards and we were provided maps </w:t>
      </w:r>
      <w:r w:rsidR="00C027E7">
        <w:t>in some areas with both, making it harder to achieve co-terminosity between borough/district wards and county divisions.</w:t>
      </w:r>
      <w:r w:rsidR="00336AC8">
        <w:t xml:space="preserve"> </w:t>
      </w:r>
      <w:r w:rsidR="00757CB6">
        <w:t xml:space="preserve">In future </w:t>
      </w:r>
      <w:r w:rsidR="00607C27">
        <w:t xml:space="preserve">we suggest that upper-tier councils should be reviewed at a time where </w:t>
      </w:r>
      <w:r w:rsidR="00717B74">
        <w:t xml:space="preserve">all </w:t>
      </w:r>
      <w:r w:rsidR="00F10F98">
        <w:t>d</w:t>
      </w:r>
      <w:r w:rsidR="00717B74">
        <w:t xml:space="preserve">istrict and </w:t>
      </w:r>
      <w:r w:rsidR="00F10F98">
        <w:t>b</w:t>
      </w:r>
      <w:r w:rsidR="00717B74">
        <w:t xml:space="preserve">orough reviews in the area have been completed. </w:t>
      </w:r>
    </w:p>
    <w:p w14:paraId="0C5BBA6F" w14:textId="77777777" w:rsidR="00851A17" w:rsidRDefault="00851A17" w:rsidP="00851A17"/>
    <w:p w14:paraId="048E7534" w14:textId="1FE6B4F9" w:rsidR="00851A17" w:rsidRPr="00851A17" w:rsidRDefault="00387893" w:rsidP="00746886">
      <w:pPr>
        <w:pStyle w:val="Heading2"/>
      </w:pPr>
      <w:r>
        <w:t xml:space="preserve">The timing of the </w:t>
      </w:r>
      <w:r w:rsidR="00F10F98">
        <w:t>p</w:t>
      </w:r>
      <w:r>
        <w:t xml:space="preserve">hase </w:t>
      </w:r>
      <w:r w:rsidR="00F10F98">
        <w:t>t</w:t>
      </w:r>
      <w:r>
        <w:t xml:space="preserve">wo submission has also proved difficult with the deadline </w:t>
      </w:r>
      <w:r w:rsidR="000505E9">
        <w:t xml:space="preserve">falling </w:t>
      </w:r>
      <w:r w:rsidR="0048148B">
        <w:t xml:space="preserve">at the same time </w:t>
      </w:r>
      <w:r w:rsidR="000505E9">
        <w:t>as</w:t>
      </w:r>
      <w:r w:rsidR="0048148B">
        <w:t xml:space="preserve"> local elections. The Council has relied heavily on the co-operation and support of Election Services Managers throughout this process and, quite understandably</w:t>
      </w:r>
      <w:r w:rsidR="00BE5B55">
        <w:t xml:space="preserve">, in the run up to local elections this has placed additional pressure on Election Services managers at a very busy time. </w:t>
      </w:r>
      <w:r w:rsidR="00DD74E2">
        <w:t xml:space="preserve">In some instances, it has simply not been possible to engage with local Election Services team at this busy time and therefore some of our proposals </w:t>
      </w:r>
      <w:r w:rsidR="003E193F">
        <w:t>include estimate</w:t>
      </w:r>
      <w:r w:rsidR="005C3918">
        <w:t>d</w:t>
      </w:r>
      <w:r w:rsidR="003E193F">
        <w:t xml:space="preserve"> rather than exact electorate figures. </w:t>
      </w:r>
    </w:p>
    <w:p w14:paraId="26B00D3A" w14:textId="77777777" w:rsidR="008256AD" w:rsidRDefault="008256AD" w:rsidP="00FA239C">
      <w:pPr>
        <w:pStyle w:val="Heading2"/>
        <w:numPr>
          <w:ilvl w:val="0"/>
          <w:numId w:val="0"/>
        </w:numPr>
      </w:pPr>
    </w:p>
    <w:p w14:paraId="4AF83BF7" w14:textId="77777777" w:rsidR="008256AD" w:rsidRDefault="008256AD"/>
    <w:p w14:paraId="30216107" w14:textId="77777777" w:rsidR="008256AD" w:rsidRDefault="008256AD">
      <w:pPr>
        <w:rPr>
          <w:b/>
          <w:bCs/>
          <w:color w:val="FF0000"/>
        </w:rPr>
        <w:sectPr w:rsidR="008256AD">
          <w:headerReference w:type="default" r:id="rId14"/>
          <w:footerReference w:type="default" r:id="rId15"/>
          <w:headerReference w:type="first" r:id="rId16"/>
          <w:type w:val="continuous"/>
          <w:pgSz w:w="11909" w:h="16834" w:code="9"/>
          <w:pgMar w:top="1151" w:right="851" w:bottom="851" w:left="1281" w:header="709" w:footer="709" w:gutter="0"/>
          <w:paperSrc w:first="1" w:other="1"/>
          <w:cols w:space="720"/>
          <w:titlePg/>
          <w:docGrid w:linePitch="78"/>
        </w:sectPr>
      </w:pPr>
    </w:p>
    <w:p w14:paraId="0B940B69" w14:textId="77777777" w:rsidR="008256AD" w:rsidRDefault="008256AD">
      <w:pPr>
        <w:pStyle w:val="Heading1"/>
        <w:numPr>
          <w:ilvl w:val="0"/>
          <w:numId w:val="0"/>
        </w:numPr>
      </w:pPr>
      <w:r>
        <w:t>ELMBRIDGE</w:t>
      </w:r>
    </w:p>
    <w:p w14:paraId="5C2CE838" w14:textId="41D59B03" w:rsidR="007B6349" w:rsidRDefault="007B6349"/>
    <w:p w14:paraId="3AA8A6CB" w14:textId="0AE3B8E9" w:rsidR="007B6349" w:rsidRDefault="007B6349">
      <w:r w:rsidRPr="007B6349">
        <w:t>For Elmbridge, the proposal is for nine divisions representing an electorate of 108,173. This would equate to an average electorate size for each division of 12,019.</w:t>
      </w:r>
    </w:p>
    <w:p w14:paraId="6E183BA0" w14:textId="77777777" w:rsidR="008256AD" w:rsidRDefault="008256AD"/>
    <w:p w14:paraId="32B469A1" w14:textId="77777777" w:rsidR="008256AD" w:rsidRDefault="008256AD">
      <w:pPr>
        <w:pStyle w:val="Header"/>
        <w:tabs>
          <w:tab w:val="clear" w:pos="4153"/>
          <w:tab w:val="clear" w:pos="8306"/>
        </w:tabs>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375"/>
      </w:tblGrid>
      <w:tr w:rsidR="0017219C" w14:paraId="1262EBFB" w14:textId="77777777" w:rsidTr="0017219C">
        <w:tc>
          <w:tcPr>
            <w:tcW w:w="3045" w:type="dxa"/>
          </w:tcPr>
          <w:p w14:paraId="4E450CBF" w14:textId="77777777" w:rsidR="0017219C" w:rsidRDefault="0017219C">
            <w:pPr>
              <w:pStyle w:val="Header"/>
              <w:tabs>
                <w:tab w:val="clear" w:pos="4153"/>
                <w:tab w:val="clear" w:pos="8306"/>
              </w:tabs>
              <w:spacing w:before="120"/>
              <w:jc w:val="center"/>
              <w:rPr>
                <w:b/>
                <w:bCs/>
              </w:rPr>
            </w:pPr>
            <w:r>
              <w:rPr>
                <w:b/>
                <w:bCs/>
              </w:rPr>
              <w:t>Division Name</w:t>
            </w:r>
          </w:p>
        </w:tc>
        <w:tc>
          <w:tcPr>
            <w:tcW w:w="1321" w:type="dxa"/>
          </w:tcPr>
          <w:p w14:paraId="4A06CB43" w14:textId="77777777" w:rsidR="0017219C" w:rsidRDefault="0017219C">
            <w:pPr>
              <w:spacing w:before="120"/>
              <w:jc w:val="center"/>
              <w:rPr>
                <w:rFonts w:cs="Arial"/>
                <w:b/>
                <w:bCs/>
                <w:szCs w:val="22"/>
              </w:rPr>
            </w:pPr>
            <w:r>
              <w:rPr>
                <w:rFonts w:cs="Arial"/>
                <w:b/>
                <w:bCs/>
                <w:szCs w:val="22"/>
              </w:rPr>
              <w:t>2029 Forecast Electorate</w:t>
            </w:r>
          </w:p>
        </w:tc>
        <w:tc>
          <w:tcPr>
            <w:tcW w:w="1280" w:type="dxa"/>
          </w:tcPr>
          <w:p w14:paraId="01B094F2" w14:textId="77777777" w:rsidR="0017219C" w:rsidRDefault="0017219C">
            <w:pPr>
              <w:spacing w:before="120"/>
              <w:jc w:val="center"/>
              <w:rPr>
                <w:rFonts w:cs="Arial"/>
                <w:b/>
                <w:bCs/>
                <w:szCs w:val="22"/>
              </w:rPr>
            </w:pPr>
            <w:r>
              <w:rPr>
                <w:rFonts w:cs="Arial"/>
                <w:b/>
                <w:bCs/>
                <w:szCs w:val="22"/>
              </w:rPr>
              <w:t>2029 Forecast Electorate Variance</w:t>
            </w:r>
          </w:p>
        </w:tc>
        <w:tc>
          <w:tcPr>
            <w:tcW w:w="9375" w:type="dxa"/>
          </w:tcPr>
          <w:p w14:paraId="5F0D0AC4" w14:textId="77777777" w:rsidR="0017219C" w:rsidRDefault="0017219C">
            <w:pPr>
              <w:spacing w:before="120"/>
              <w:jc w:val="center"/>
              <w:rPr>
                <w:rFonts w:cs="Arial"/>
                <w:b/>
                <w:bCs/>
                <w:szCs w:val="22"/>
              </w:rPr>
            </w:pPr>
            <w:r>
              <w:rPr>
                <w:rFonts w:cs="Arial"/>
                <w:b/>
                <w:bCs/>
                <w:szCs w:val="22"/>
              </w:rPr>
              <w:t>Evidence and Rationale that the proposals meet the statutory criteria</w:t>
            </w:r>
          </w:p>
        </w:tc>
      </w:tr>
      <w:tr w:rsidR="004E35C7" w14:paraId="36A8CFAA" w14:textId="77777777">
        <w:tc>
          <w:tcPr>
            <w:tcW w:w="3045" w:type="dxa"/>
          </w:tcPr>
          <w:p w14:paraId="7803A970" w14:textId="77777777" w:rsidR="004E35C7" w:rsidRPr="005A6209" w:rsidRDefault="004E35C7" w:rsidP="004E35C7">
            <w:pPr>
              <w:spacing w:before="240"/>
              <w:jc w:val="center"/>
              <w:rPr>
                <w:rFonts w:cs="Arial"/>
                <w:b/>
                <w:bCs/>
                <w:szCs w:val="22"/>
              </w:rPr>
            </w:pPr>
            <w:r w:rsidRPr="005A6209">
              <w:rPr>
                <w:rFonts w:cs="Arial"/>
                <w:b/>
                <w:bCs/>
                <w:szCs w:val="22"/>
              </w:rPr>
              <w:t>Hinchley Wood, Claygate and Oxshott</w:t>
            </w:r>
          </w:p>
        </w:tc>
        <w:tc>
          <w:tcPr>
            <w:tcW w:w="1321" w:type="dxa"/>
            <w:vAlign w:val="center"/>
          </w:tcPr>
          <w:p w14:paraId="3F8822CD" w14:textId="4673A64B" w:rsidR="004E35C7" w:rsidRPr="009E49F5" w:rsidRDefault="00F17145" w:rsidP="004E35C7">
            <w:pPr>
              <w:spacing w:before="240"/>
              <w:jc w:val="center"/>
              <w:rPr>
                <w:rFonts w:cs="Arial"/>
                <w:szCs w:val="22"/>
                <w:highlight w:val="yellow"/>
              </w:rPr>
            </w:pPr>
            <w:r w:rsidRPr="00F17145">
              <w:rPr>
                <w:rFonts w:cs="Arial"/>
                <w:szCs w:val="22"/>
              </w:rPr>
              <w:t>12,660</w:t>
            </w:r>
          </w:p>
        </w:tc>
        <w:tc>
          <w:tcPr>
            <w:tcW w:w="1280" w:type="dxa"/>
            <w:vAlign w:val="center"/>
          </w:tcPr>
          <w:p w14:paraId="64ABE8B7" w14:textId="24D7B1D7" w:rsidR="004E35C7" w:rsidRPr="009E49F5" w:rsidRDefault="00F61CE5" w:rsidP="004E35C7">
            <w:pPr>
              <w:spacing w:before="240"/>
              <w:jc w:val="center"/>
              <w:rPr>
                <w:rFonts w:cs="Arial"/>
                <w:szCs w:val="22"/>
                <w:highlight w:val="yellow"/>
              </w:rPr>
            </w:pPr>
            <w:r w:rsidRPr="00F61CE5">
              <w:rPr>
                <w:rFonts w:cs="Arial"/>
                <w:szCs w:val="22"/>
              </w:rPr>
              <w:t>6%</w:t>
            </w:r>
          </w:p>
        </w:tc>
        <w:tc>
          <w:tcPr>
            <w:tcW w:w="9375" w:type="dxa"/>
          </w:tcPr>
          <w:p w14:paraId="00C44CF0" w14:textId="77777777" w:rsidR="004E35C7" w:rsidRPr="00E94BE8" w:rsidRDefault="004E35C7" w:rsidP="004E35C7">
            <w:pPr>
              <w:rPr>
                <w:rFonts w:cs="Arial"/>
                <w:szCs w:val="22"/>
                <w:highlight w:val="yellow"/>
              </w:rPr>
            </w:pPr>
          </w:p>
          <w:p w14:paraId="05C84F6F" w14:textId="6B823152" w:rsidR="004E35C7" w:rsidRPr="00F17145" w:rsidRDefault="004E35C7" w:rsidP="004E35C7">
            <w:pPr>
              <w:rPr>
                <w:rFonts w:cs="Arial"/>
                <w:b/>
                <w:bCs/>
                <w:i/>
                <w:iCs/>
                <w:szCs w:val="22"/>
              </w:rPr>
            </w:pPr>
            <w:r w:rsidRPr="00F17145">
              <w:rPr>
                <w:rFonts w:cs="Arial"/>
                <w:szCs w:val="22"/>
              </w:rPr>
              <w:t>Th</w:t>
            </w:r>
            <w:r w:rsidR="006447D4">
              <w:rPr>
                <w:rFonts w:cs="Arial"/>
                <w:szCs w:val="22"/>
              </w:rPr>
              <w:t>s d</w:t>
            </w:r>
            <w:r w:rsidRPr="00F17145">
              <w:rPr>
                <w:rFonts w:cs="Arial"/>
                <w:szCs w:val="22"/>
              </w:rPr>
              <w:t>ivision encompasses the three separate communities of Hinchley Wood, Claygate and Oxshott.</w:t>
            </w:r>
            <w:r w:rsidRPr="00F17145">
              <w:rPr>
                <w:rFonts w:cs="Arial"/>
                <w:b/>
                <w:bCs/>
                <w:i/>
                <w:iCs/>
                <w:szCs w:val="22"/>
              </w:rPr>
              <w:t xml:space="preserve"> </w:t>
            </w:r>
          </w:p>
          <w:p w14:paraId="65AB5532" w14:textId="77777777" w:rsidR="000E101F" w:rsidRPr="00F17145" w:rsidRDefault="000E101F" w:rsidP="004E35C7">
            <w:pPr>
              <w:rPr>
                <w:rFonts w:cs="Arial"/>
                <w:b/>
                <w:bCs/>
                <w:i/>
                <w:iCs/>
                <w:szCs w:val="22"/>
              </w:rPr>
            </w:pPr>
          </w:p>
          <w:p w14:paraId="72F94776" w14:textId="730646D6" w:rsidR="00A50EA4" w:rsidRPr="00F17145" w:rsidRDefault="00A50EA4" w:rsidP="00A50EA4">
            <w:pPr>
              <w:rPr>
                <w:rFonts w:eastAsia="Calibri" w:cs="Arial"/>
                <w:szCs w:val="22"/>
              </w:rPr>
            </w:pPr>
            <w:r w:rsidRPr="00F17145">
              <w:rPr>
                <w:rFonts w:cs="Arial"/>
                <w:szCs w:val="22"/>
              </w:rPr>
              <w:t xml:space="preserve">It is suggested that the northern boundary of this </w:t>
            </w:r>
            <w:r w:rsidR="00E9376A">
              <w:rPr>
                <w:rFonts w:cs="Arial"/>
                <w:szCs w:val="22"/>
              </w:rPr>
              <w:t>d</w:t>
            </w:r>
            <w:r w:rsidRPr="00F17145">
              <w:rPr>
                <w:rFonts w:cs="Arial"/>
                <w:szCs w:val="22"/>
              </w:rPr>
              <w:t>ivision is amended</w:t>
            </w:r>
            <w:r w:rsidR="00816849" w:rsidRPr="00F17145">
              <w:rPr>
                <w:rFonts w:cs="Arial"/>
                <w:szCs w:val="22"/>
              </w:rPr>
              <w:t>.</w:t>
            </w:r>
            <w:r w:rsidRPr="00F17145">
              <w:rPr>
                <w:rFonts w:cs="Arial"/>
                <w:szCs w:val="22"/>
              </w:rPr>
              <w:t xml:space="preserve"> </w:t>
            </w:r>
            <w:r w:rsidRPr="00F17145">
              <w:rPr>
                <w:rFonts w:eastAsia="Calibri" w:cs="Arial"/>
                <w:szCs w:val="22"/>
              </w:rPr>
              <w:t xml:space="preserve">As outlined in the </w:t>
            </w:r>
            <w:r w:rsidR="00E9376A">
              <w:rPr>
                <w:rFonts w:eastAsia="Calibri" w:cs="Arial"/>
                <w:szCs w:val="22"/>
              </w:rPr>
              <w:t>attached</w:t>
            </w:r>
            <w:r w:rsidRPr="00F17145">
              <w:rPr>
                <w:rFonts w:eastAsia="Calibri" w:cs="Arial"/>
                <w:szCs w:val="22"/>
              </w:rPr>
              <w:t xml:space="preserve"> map, the new boundary would sit where the northern part of Claygate Lane meets Manor Road North. Along Manor Road North</w:t>
            </w:r>
            <w:r w:rsidR="002659DD">
              <w:rPr>
                <w:rFonts w:eastAsia="Calibri" w:cs="Arial"/>
                <w:szCs w:val="22"/>
              </w:rPr>
              <w:t>,</w:t>
            </w:r>
            <w:r w:rsidRPr="00F17145">
              <w:rPr>
                <w:rFonts w:eastAsia="Calibri" w:cs="Arial"/>
                <w:szCs w:val="22"/>
              </w:rPr>
              <w:t xml:space="preserve"> the East/West boundary would see Dene Gardens moved into The Dittons </w:t>
            </w:r>
            <w:r w:rsidR="002659DD">
              <w:rPr>
                <w:rFonts w:eastAsia="Calibri" w:cs="Arial"/>
                <w:szCs w:val="22"/>
              </w:rPr>
              <w:t>e</w:t>
            </w:r>
            <w:r w:rsidR="009868E7">
              <w:rPr>
                <w:rFonts w:eastAsia="Calibri" w:cs="Arial"/>
                <w:szCs w:val="22"/>
              </w:rPr>
              <w:t xml:space="preserve">lectoral </w:t>
            </w:r>
            <w:r w:rsidR="002659DD">
              <w:rPr>
                <w:rFonts w:eastAsia="Calibri" w:cs="Arial"/>
                <w:szCs w:val="22"/>
              </w:rPr>
              <w:t>d</w:t>
            </w:r>
            <w:r w:rsidR="009868E7">
              <w:rPr>
                <w:rFonts w:eastAsia="Calibri" w:cs="Arial"/>
                <w:szCs w:val="22"/>
              </w:rPr>
              <w:t>ivision</w:t>
            </w:r>
            <w:r w:rsidRPr="00F17145">
              <w:rPr>
                <w:rFonts w:eastAsia="Calibri" w:cs="Arial"/>
                <w:szCs w:val="22"/>
              </w:rPr>
              <w:t>,</w:t>
            </w:r>
            <w:r w:rsidR="00943B1F">
              <w:rPr>
                <w:rFonts w:eastAsia="Calibri" w:cs="Arial"/>
                <w:szCs w:val="22"/>
              </w:rPr>
              <w:t xml:space="preserve"> alongside</w:t>
            </w:r>
            <w:r w:rsidRPr="00F17145">
              <w:rPr>
                <w:rFonts w:eastAsia="Calibri" w:cs="Arial"/>
                <w:szCs w:val="22"/>
              </w:rPr>
              <w:t xml:space="preserve"> the few closes to its East (Greenwood Close, Orchard Avenue, Manordene Close, and Greenwood Close). The North-Western boundary would remain as is at the railway line which forms </w:t>
            </w:r>
            <w:r w:rsidR="00943B1F">
              <w:rPr>
                <w:rFonts w:eastAsia="Calibri" w:cs="Arial"/>
                <w:szCs w:val="22"/>
              </w:rPr>
              <w:t>a fairly</w:t>
            </w:r>
            <w:r w:rsidRPr="00F17145">
              <w:rPr>
                <w:rFonts w:eastAsia="Calibri" w:cs="Arial"/>
                <w:szCs w:val="22"/>
              </w:rPr>
              <w:t xml:space="preserve"> clear ‘natural’ border. </w:t>
            </w:r>
            <w:r w:rsidR="006851A7" w:rsidRPr="00F17145">
              <w:rPr>
                <w:rFonts w:eastAsia="Calibri" w:cs="Arial"/>
                <w:szCs w:val="22"/>
              </w:rPr>
              <w:t xml:space="preserve">This would move roughly half the electorate from </w:t>
            </w:r>
            <w:r w:rsidR="00943B1F">
              <w:rPr>
                <w:rFonts w:eastAsia="Calibri" w:cs="Arial"/>
                <w:szCs w:val="22"/>
              </w:rPr>
              <w:t>p</w:t>
            </w:r>
            <w:r w:rsidR="006851A7" w:rsidRPr="00F17145">
              <w:rPr>
                <w:rFonts w:eastAsia="Calibri" w:cs="Arial"/>
                <w:szCs w:val="22"/>
              </w:rPr>
              <w:t xml:space="preserve">olling </w:t>
            </w:r>
            <w:r w:rsidR="00943B1F">
              <w:rPr>
                <w:rFonts w:eastAsia="Calibri" w:cs="Arial"/>
                <w:szCs w:val="22"/>
              </w:rPr>
              <w:t>d</w:t>
            </w:r>
            <w:r w:rsidR="006851A7" w:rsidRPr="00F17145">
              <w:rPr>
                <w:rFonts w:eastAsia="Calibri" w:cs="Arial"/>
                <w:szCs w:val="22"/>
              </w:rPr>
              <w:t xml:space="preserve">istrict BC into The Dittons </w:t>
            </w:r>
            <w:r w:rsidR="00943B1F">
              <w:rPr>
                <w:rFonts w:eastAsia="Calibri" w:cs="Arial"/>
                <w:szCs w:val="22"/>
              </w:rPr>
              <w:t>d</w:t>
            </w:r>
            <w:r w:rsidR="006851A7" w:rsidRPr="00F17145">
              <w:rPr>
                <w:rFonts w:eastAsia="Calibri" w:cs="Arial"/>
                <w:szCs w:val="22"/>
              </w:rPr>
              <w:t xml:space="preserve">ivision. This would have a positive impact on electoral </w:t>
            </w:r>
            <w:r w:rsidR="005D7436">
              <w:rPr>
                <w:rFonts w:eastAsia="Calibri" w:cs="Arial"/>
                <w:szCs w:val="22"/>
              </w:rPr>
              <w:t>equality</w:t>
            </w:r>
            <w:r w:rsidR="00943B1F">
              <w:rPr>
                <w:rFonts w:eastAsia="Calibri" w:cs="Arial"/>
                <w:szCs w:val="22"/>
              </w:rPr>
              <w:t>,</w:t>
            </w:r>
            <w:r w:rsidR="006851A7" w:rsidRPr="00F17145">
              <w:rPr>
                <w:rFonts w:eastAsia="Calibri" w:cs="Arial"/>
                <w:szCs w:val="22"/>
              </w:rPr>
              <w:t xml:space="preserve"> </w:t>
            </w:r>
            <w:r w:rsidR="007D44E5">
              <w:rPr>
                <w:rFonts w:eastAsia="Calibri" w:cs="Arial"/>
                <w:szCs w:val="22"/>
              </w:rPr>
              <w:t xml:space="preserve">with </w:t>
            </w:r>
            <w:r w:rsidR="006851A7" w:rsidRPr="00F17145">
              <w:rPr>
                <w:rFonts w:eastAsia="Calibri" w:cs="Arial"/>
                <w:szCs w:val="22"/>
              </w:rPr>
              <w:t>The Dit</w:t>
            </w:r>
            <w:r w:rsidR="0008375A" w:rsidRPr="00F17145">
              <w:rPr>
                <w:rFonts w:eastAsia="Calibri" w:cs="Arial"/>
                <w:szCs w:val="22"/>
              </w:rPr>
              <w:t xml:space="preserve">tons </w:t>
            </w:r>
            <w:r w:rsidR="007D44E5">
              <w:rPr>
                <w:rFonts w:eastAsia="Calibri" w:cs="Arial"/>
                <w:szCs w:val="22"/>
              </w:rPr>
              <w:t xml:space="preserve">moving </w:t>
            </w:r>
            <w:r w:rsidR="0008375A" w:rsidRPr="00F17145">
              <w:rPr>
                <w:rFonts w:eastAsia="Calibri" w:cs="Arial"/>
                <w:szCs w:val="22"/>
              </w:rPr>
              <w:t xml:space="preserve">to </w:t>
            </w:r>
            <w:r w:rsidR="003635A0" w:rsidRPr="00F17145">
              <w:rPr>
                <w:rFonts w:eastAsia="Calibri" w:cs="Arial"/>
                <w:szCs w:val="22"/>
              </w:rPr>
              <w:t xml:space="preserve">7% from 4% and Hinchley Wood, Claygate and Oxshott to </w:t>
            </w:r>
            <w:r w:rsidR="006F7872" w:rsidRPr="00F17145">
              <w:rPr>
                <w:rFonts w:eastAsia="Calibri" w:cs="Arial"/>
                <w:szCs w:val="22"/>
              </w:rPr>
              <w:t>6% from 10%</w:t>
            </w:r>
            <w:r w:rsidR="009931A1" w:rsidRPr="00F17145">
              <w:rPr>
                <w:rFonts w:eastAsia="Calibri" w:cs="Arial"/>
                <w:szCs w:val="22"/>
              </w:rPr>
              <w:t>.</w:t>
            </w:r>
          </w:p>
          <w:p w14:paraId="40565A8F" w14:textId="77777777" w:rsidR="00316A2D" w:rsidRPr="00F17145" w:rsidRDefault="00316A2D" w:rsidP="00A50EA4">
            <w:pPr>
              <w:rPr>
                <w:rFonts w:eastAsia="Calibri" w:cs="Arial"/>
                <w:szCs w:val="22"/>
              </w:rPr>
            </w:pPr>
          </w:p>
          <w:p w14:paraId="7941D6B6" w14:textId="0F157B3B" w:rsidR="00316A2D" w:rsidRPr="00F17145" w:rsidRDefault="00316A2D" w:rsidP="00A50EA4">
            <w:pPr>
              <w:rPr>
                <w:rFonts w:eastAsia="Calibri" w:cs="Arial"/>
                <w:szCs w:val="22"/>
              </w:rPr>
            </w:pPr>
            <w:r w:rsidRPr="00F17145">
              <w:rPr>
                <w:rFonts w:eastAsia="Calibri" w:cs="Arial"/>
                <w:szCs w:val="22"/>
              </w:rPr>
              <w:t xml:space="preserve">As well as </w:t>
            </w:r>
            <w:r w:rsidR="00FA521D" w:rsidRPr="00F17145">
              <w:rPr>
                <w:rFonts w:eastAsia="Calibri" w:cs="Arial"/>
                <w:szCs w:val="22"/>
              </w:rPr>
              <w:t xml:space="preserve">improving the electoral equality between the two </w:t>
            </w:r>
            <w:r w:rsidR="005D7436">
              <w:rPr>
                <w:rFonts w:eastAsia="Calibri" w:cs="Arial"/>
                <w:szCs w:val="22"/>
              </w:rPr>
              <w:t>d</w:t>
            </w:r>
            <w:r w:rsidR="00FA521D" w:rsidRPr="00F17145">
              <w:rPr>
                <w:rFonts w:eastAsia="Calibri" w:cs="Arial"/>
                <w:szCs w:val="22"/>
              </w:rPr>
              <w:t xml:space="preserve">ivisions, this change </w:t>
            </w:r>
            <w:r w:rsidR="00AB4A78" w:rsidRPr="00F17145">
              <w:rPr>
                <w:rFonts w:eastAsia="Calibri" w:cs="Arial"/>
                <w:szCs w:val="22"/>
              </w:rPr>
              <w:t xml:space="preserve">also makes sense in relation to community identity. Both local Members have stated that residents in this area tend to identify with The Dittons and many already contact the </w:t>
            </w:r>
            <w:r w:rsidR="005D7436">
              <w:rPr>
                <w:rFonts w:eastAsia="Calibri" w:cs="Arial"/>
                <w:szCs w:val="22"/>
              </w:rPr>
              <w:t xml:space="preserve">local </w:t>
            </w:r>
            <w:r w:rsidR="00AB4A78" w:rsidRPr="00F17145">
              <w:rPr>
                <w:rFonts w:eastAsia="Calibri" w:cs="Arial"/>
                <w:szCs w:val="22"/>
              </w:rPr>
              <w:t xml:space="preserve">councillor for that </w:t>
            </w:r>
            <w:r w:rsidR="005D7436">
              <w:rPr>
                <w:rFonts w:eastAsia="Calibri" w:cs="Arial"/>
                <w:szCs w:val="22"/>
              </w:rPr>
              <w:t>d</w:t>
            </w:r>
            <w:r w:rsidR="00AB4A78" w:rsidRPr="00F17145">
              <w:rPr>
                <w:rFonts w:eastAsia="Calibri" w:cs="Arial"/>
                <w:szCs w:val="22"/>
              </w:rPr>
              <w:t xml:space="preserve">ivision with casework. </w:t>
            </w:r>
          </w:p>
          <w:p w14:paraId="709C0A4C" w14:textId="77777777" w:rsidR="004E35C7" w:rsidRPr="00F17145" w:rsidRDefault="004E35C7" w:rsidP="004E35C7">
            <w:pPr>
              <w:rPr>
                <w:rFonts w:cs="Arial"/>
                <w:szCs w:val="22"/>
              </w:rPr>
            </w:pPr>
          </w:p>
          <w:p w14:paraId="2D43FB0E" w14:textId="3736DF8E" w:rsidR="004E35C7" w:rsidRPr="00F17145" w:rsidRDefault="004E35C7" w:rsidP="004E35C7">
            <w:pPr>
              <w:rPr>
                <w:rFonts w:cs="Arial"/>
                <w:szCs w:val="22"/>
              </w:rPr>
            </w:pPr>
            <w:r w:rsidRPr="00F17145">
              <w:rPr>
                <w:rFonts w:cs="Arial"/>
                <w:szCs w:val="22"/>
              </w:rPr>
              <w:t>The</w:t>
            </w:r>
            <w:r w:rsidR="00AB4A78" w:rsidRPr="00F17145">
              <w:rPr>
                <w:rFonts w:cs="Arial"/>
                <w:szCs w:val="22"/>
              </w:rPr>
              <w:t>refore</w:t>
            </w:r>
            <w:r w:rsidR="00F17145">
              <w:rPr>
                <w:rFonts w:cs="Arial"/>
                <w:szCs w:val="22"/>
              </w:rPr>
              <w:t>,</w:t>
            </w:r>
            <w:r w:rsidR="00AB4A78" w:rsidRPr="00F17145">
              <w:rPr>
                <w:rFonts w:cs="Arial"/>
                <w:szCs w:val="22"/>
              </w:rPr>
              <w:t xml:space="preserve"> the</w:t>
            </w:r>
            <w:r w:rsidRPr="00F17145">
              <w:rPr>
                <w:rFonts w:cs="Arial"/>
                <w:szCs w:val="22"/>
              </w:rPr>
              <w:t xml:space="preserve"> eastern boundary follows the County Border with Kingston upon Thames while the north</w:t>
            </w:r>
            <w:r w:rsidR="00AB4A78" w:rsidRPr="00F17145">
              <w:rPr>
                <w:rFonts w:cs="Arial"/>
                <w:szCs w:val="22"/>
              </w:rPr>
              <w:t>ern boundary is amended as set out above</w:t>
            </w:r>
            <w:r w:rsidRPr="00F17145">
              <w:rPr>
                <w:rFonts w:cs="Arial"/>
                <w:szCs w:val="22"/>
              </w:rPr>
              <w:t xml:space="preserve">.  To the south, the boundary is defined by the border with Mole Valley going westwards to Chobham railway where Blundell Lane crosses before following the railway north along the eastern boundary until it meets and follows Claygate Parish boundary before following the western edge of Littleworth Common and the Golf Course back to the railway in the north.  </w:t>
            </w:r>
          </w:p>
          <w:p w14:paraId="240322D3" w14:textId="77777777" w:rsidR="004E35C7" w:rsidRDefault="004E35C7" w:rsidP="004E35C7">
            <w:pPr>
              <w:rPr>
                <w:rFonts w:cs="Arial"/>
                <w:szCs w:val="22"/>
                <w:highlight w:val="yellow"/>
              </w:rPr>
            </w:pPr>
          </w:p>
          <w:p w14:paraId="275BD138" w14:textId="77777777" w:rsidR="004E35C7" w:rsidRPr="00E94BE8" w:rsidRDefault="004E35C7" w:rsidP="004E35C7">
            <w:pPr>
              <w:rPr>
                <w:rFonts w:cs="Arial"/>
                <w:szCs w:val="22"/>
                <w:highlight w:val="yellow"/>
              </w:rPr>
            </w:pPr>
          </w:p>
          <w:p w14:paraId="08761FA6" w14:textId="77777777" w:rsidR="004E35C7" w:rsidRPr="00E94BE8" w:rsidRDefault="004E35C7" w:rsidP="004E35C7">
            <w:pPr>
              <w:rPr>
                <w:rFonts w:cs="Arial"/>
                <w:szCs w:val="22"/>
                <w:highlight w:val="yellow"/>
              </w:rPr>
            </w:pPr>
            <w:r w:rsidRPr="00E94BE8">
              <w:rPr>
                <w:rFonts w:cs="Arial"/>
                <w:szCs w:val="22"/>
                <w:highlight w:val="yellow"/>
              </w:rPr>
              <w:t xml:space="preserve">  </w:t>
            </w:r>
          </w:p>
        </w:tc>
      </w:tr>
      <w:tr w:rsidR="00465B22" w14:paraId="7D042BF0" w14:textId="77777777">
        <w:tc>
          <w:tcPr>
            <w:tcW w:w="3045" w:type="dxa"/>
          </w:tcPr>
          <w:p w14:paraId="0533749E" w14:textId="77777777" w:rsidR="00465B22" w:rsidRPr="005A6209" w:rsidRDefault="00465B22" w:rsidP="00465B22">
            <w:pPr>
              <w:spacing w:before="240"/>
              <w:jc w:val="center"/>
              <w:rPr>
                <w:rFonts w:cs="Arial"/>
                <w:b/>
                <w:bCs/>
                <w:szCs w:val="22"/>
              </w:rPr>
            </w:pPr>
            <w:r w:rsidRPr="005A6209">
              <w:rPr>
                <w:rFonts w:cs="Arial"/>
                <w:b/>
                <w:bCs/>
                <w:szCs w:val="22"/>
              </w:rPr>
              <w:t>Cobham</w:t>
            </w:r>
          </w:p>
        </w:tc>
        <w:tc>
          <w:tcPr>
            <w:tcW w:w="1321" w:type="dxa"/>
            <w:vAlign w:val="center"/>
          </w:tcPr>
          <w:p w14:paraId="220D8C4B" w14:textId="7BF9F857" w:rsidR="00465B22" w:rsidRPr="005A6209" w:rsidRDefault="00465B22" w:rsidP="00465B22">
            <w:pPr>
              <w:spacing w:before="240"/>
              <w:jc w:val="center"/>
              <w:rPr>
                <w:rFonts w:cs="Arial"/>
                <w:szCs w:val="22"/>
              </w:rPr>
            </w:pPr>
            <w:r w:rsidRPr="005A6209">
              <w:rPr>
                <w:rFonts w:cs="Arial"/>
              </w:rPr>
              <w:t>11,213</w:t>
            </w:r>
          </w:p>
        </w:tc>
        <w:tc>
          <w:tcPr>
            <w:tcW w:w="1280" w:type="dxa"/>
            <w:vAlign w:val="center"/>
          </w:tcPr>
          <w:p w14:paraId="7CCBEA3D" w14:textId="3B5B9F12" w:rsidR="00465B22" w:rsidRPr="005A6209" w:rsidRDefault="00465B22" w:rsidP="00465B22">
            <w:pPr>
              <w:spacing w:before="240"/>
              <w:jc w:val="center"/>
              <w:rPr>
                <w:rFonts w:cs="Arial"/>
                <w:szCs w:val="22"/>
              </w:rPr>
            </w:pPr>
            <w:r w:rsidRPr="005A6209">
              <w:rPr>
                <w:rFonts w:cs="Arial"/>
              </w:rPr>
              <w:t>-6%</w:t>
            </w:r>
          </w:p>
        </w:tc>
        <w:tc>
          <w:tcPr>
            <w:tcW w:w="9375" w:type="dxa"/>
          </w:tcPr>
          <w:p w14:paraId="5B62D80C" w14:textId="77777777" w:rsidR="00465B22" w:rsidRPr="00621B8E" w:rsidRDefault="00465B22" w:rsidP="00465B22">
            <w:pPr>
              <w:rPr>
                <w:rFonts w:cs="Arial"/>
                <w:szCs w:val="22"/>
              </w:rPr>
            </w:pPr>
          </w:p>
          <w:p w14:paraId="7A07331A" w14:textId="71B50077" w:rsidR="00465B22" w:rsidRPr="00621B8E" w:rsidRDefault="00465B22" w:rsidP="00465B22">
            <w:pPr>
              <w:rPr>
                <w:rFonts w:cs="Arial"/>
                <w:szCs w:val="22"/>
              </w:rPr>
            </w:pPr>
            <w:r w:rsidRPr="00621B8E">
              <w:rPr>
                <w:rFonts w:cs="Arial"/>
                <w:szCs w:val="22"/>
              </w:rPr>
              <w:t xml:space="preserve">There are no suggested changes to this </w:t>
            </w:r>
            <w:r w:rsidR="00927528">
              <w:rPr>
                <w:rFonts w:cs="Arial"/>
                <w:szCs w:val="22"/>
              </w:rPr>
              <w:t>d</w:t>
            </w:r>
            <w:r w:rsidRPr="00621B8E">
              <w:rPr>
                <w:rFonts w:cs="Arial"/>
                <w:szCs w:val="22"/>
              </w:rPr>
              <w:t xml:space="preserve">ivision. </w:t>
            </w:r>
          </w:p>
          <w:p w14:paraId="0140581F" w14:textId="77777777" w:rsidR="00465B22" w:rsidRPr="00621B8E" w:rsidRDefault="00465B22" w:rsidP="00465B22">
            <w:pPr>
              <w:rPr>
                <w:rFonts w:cs="Arial"/>
                <w:szCs w:val="22"/>
              </w:rPr>
            </w:pPr>
          </w:p>
          <w:p w14:paraId="1C81517D" w14:textId="680E8F6D" w:rsidR="00465B22" w:rsidRPr="00621B8E" w:rsidRDefault="00465B22" w:rsidP="00465B22">
            <w:pPr>
              <w:rPr>
                <w:rFonts w:cs="Arial"/>
                <w:szCs w:val="22"/>
              </w:rPr>
            </w:pPr>
            <w:r w:rsidRPr="00621B8E">
              <w:rPr>
                <w:rFonts w:cs="Arial"/>
                <w:szCs w:val="22"/>
              </w:rPr>
              <w:t xml:space="preserve">The southern and western boundaries of the </w:t>
            </w:r>
            <w:r w:rsidR="00E5290C">
              <w:rPr>
                <w:rFonts w:cs="Arial"/>
                <w:szCs w:val="22"/>
              </w:rPr>
              <w:t>di</w:t>
            </w:r>
            <w:r w:rsidRPr="00621B8E">
              <w:rPr>
                <w:rFonts w:cs="Arial"/>
                <w:szCs w:val="22"/>
              </w:rPr>
              <w:t xml:space="preserve">vision of Cobham follow the Borough borders with Mole Valley and Guildford.  The northern boundary follows the River Mole in the west near to the A3 which it follows until it meets the Waterloo to Cobham railway in the east.  The eastern boundary then follows the railway south to where Blundell Lane crosses the railway and then goes eastwards to the border of Elmbridge.  </w:t>
            </w:r>
          </w:p>
          <w:p w14:paraId="281FF30B" w14:textId="77777777" w:rsidR="00465B22" w:rsidRPr="00621B8E" w:rsidRDefault="00465B22" w:rsidP="00465B22">
            <w:pPr>
              <w:rPr>
                <w:rFonts w:cs="Arial"/>
                <w:szCs w:val="22"/>
              </w:rPr>
            </w:pPr>
          </w:p>
          <w:p w14:paraId="6CBBA8AD" w14:textId="2D022FAA" w:rsidR="00465B22" w:rsidRPr="00621B8E" w:rsidRDefault="00465B22" w:rsidP="00465B22">
            <w:pPr>
              <w:rPr>
                <w:rFonts w:cs="Arial"/>
                <w:szCs w:val="22"/>
              </w:rPr>
            </w:pPr>
            <w:r w:rsidRPr="00621B8E">
              <w:rPr>
                <w:rFonts w:cs="Arial"/>
                <w:szCs w:val="22"/>
              </w:rPr>
              <w:t>The village of Cobham is a focal point for this division, which is represented by a number of established civic groups and resident</w:t>
            </w:r>
            <w:r w:rsidR="00E5290C">
              <w:rPr>
                <w:rFonts w:cs="Arial"/>
                <w:szCs w:val="22"/>
              </w:rPr>
              <w:t>s’</w:t>
            </w:r>
            <w:r w:rsidRPr="00621B8E">
              <w:rPr>
                <w:rFonts w:cs="Arial"/>
                <w:szCs w:val="22"/>
              </w:rPr>
              <w:t xml:space="preserve"> associations. </w:t>
            </w:r>
          </w:p>
          <w:p w14:paraId="7642D577" w14:textId="77777777" w:rsidR="00465B22" w:rsidRPr="00621B8E" w:rsidRDefault="00465B22" w:rsidP="00465B22">
            <w:pPr>
              <w:rPr>
                <w:rFonts w:cs="Arial"/>
                <w:szCs w:val="22"/>
              </w:rPr>
            </w:pPr>
          </w:p>
        </w:tc>
      </w:tr>
      <w:tr w:rsidR="0017219C" w14:paraId="1A1500C8" w14:textId="77777777" w:rsidTr="0017219C">
        <w:tc>
          <w:tcPr>
            <w:tcW w:w="3045" w:type="dxa"/>
          </w:tcPr>
          <w:p w14:paraId="2416A42E" w14:textId="77777777" w:rsidR="0017219C" w:rsidRPr="005A6209" w:rsidRDefault="0017219C">
            <w:pPr>
              <w:spacing w:before="240"/>
              <w:jc w:val="center"/>
              <w:rPr>
                <w:rFonts w:cs="Arial"/>
                <w:b/>
                <w:bCs/>
                <w:szCs w:val="22"/>
              </w:rPr>
            </w:pPr>
            <w:r w:rsidRPr="005A6209">
              <w:rPr>
                <w:rFonts w:cs="Arial"/>
                <w:b/>
                <w:bCs/>
                <w:szCs w:val="22"/>
              </w:rPr>
              <w:t>Hersham</w:t>
            </w:r>
          </w:p>
        </w:tc>
        <w:tc>
          <w:tcPr>
            <w:tcW w:w="1321" w:type="dxa"/>
          </w:tcPr>
          <w:p w14:paraId="13A53448" w14:textId="77777777" w:rsidR="0017219C" w:rsidRPr="005A6209" w:rsidRDefault="0017219C">
            <w:pPr>
              <w:spacing w:before="240"/>
              <w:jc w:val="center"/>
              <w:rPr>
                <w:rFonts w:cs="Arial"/>
                <w:szCs w:val="22"/>
              </w:rPr>
            </w:pPr>
            <w:r w:rsidRPr="005A6209">
              <w:rPr>
                <w:rFonts w:cs="Arial"/>
                <w:szCs w:val="22"/>
              </w:rPr>
              <w:t>11,517</w:t>
            </w:r>
          </w:p>
        </w:tc>
        <w:tc>
          <w:tcPr>
            <w:tcW w:w="1280" w:type="dxa"/>
          </w:tcPr>
          <w:p w14:paraId="43D37124" w14:textId="77777777" w:rsidR="0017219C" w:rsidRPr="005A6209" w:rsidRDefault="0017219C">
            <w:pPr>
              <w:spacing w:before="240"/>
              <w:jc w:val="center"/>
              <w:rPr>
                <w:rFonts w:cs="Arial"/>
                <w:szCs w:val="22"/>
              </w:rPr>
            </w:pPr>
            <w:r w:rsidRPr="005A6209">
              <w:rPr>
                <w:rFonts w:cs="Arial"/>
                <w:szCs w:val="22"/>
              </w:rPr>
              <w:t>-3%</w:t>
            </w:r>
          </w:p>
        </w:tc>
        <w:tc>
          <w:tcPr>
            <w:tcW w:w="9375" w:type="dxa"/>
          </w:tcPr>
          <w:p w14:paraId="52AE6E70" w14:textId="77777777" w:rsidR="0017219C" w:rsidRPr="00EB4DEF" w:rsidRDefault="0017219C">
            <w:pPr>
              <w:rPr>
                <w:rFonts w:cs="Arial"/>
                <w:szCs w:val="22"/>
              </w:rPr>
            </w:pPr>
          </w:p>
          <w:p w14:paraId="08CF8DBE" w14:textId="24DBFBC3" w:rsidR="0017219C" w:rsidRDefault="0017219C">
            <w:pPr>
              <w:rPr>
                <w:rFonts w:cs="Arial"/>
                <w:szCs w:val="22"/>
              </w:rPr>
            </w:pPr>
            <w:r>
              <w:rPr>
                <w:rFonts w:cs="Arial"/>
                <w:szCs w:val="22"/>
              </w:rPr>
              <w:t xml:space="preserve">There are no suggested changes to this </w:t>
            </w:r>
            <w:r w:rsidR="00876C4B">
              <w:rPr>
                <w:rFonts w:cs="Arial"/>
                <w:szCs w:val="22"/>
              </w:rPr>
              <w:t>d</w:t>
            </w:r>
            <w:r>
              <w:rPr>
                <w:rFonts w:cs="Arial"/>
                <w:szCs w:val="22"/>
              </w:rPr>
              <w:t>ivision.</w:t>
            </w:r>
          </w:p>
          <w:p w14:paraId="1D7D5757" w14:textId="77777777" w:rsidR="0017219C" w:rsidRDefault="0017219C">
            <w:pPr>
              <w:rPr>
                <w:rFonts w:cs="Arial"/>
                <w:szCs w:val="22"/>
              </w:rPr>
            </w:pPr>
          </w:p>
          <w:p w14:paraId="6C8C699D" w14:textId="51B314F7" w:rsidR="0017219C" w:rsidRPr="00EB4DEF" w:rsidRDefault="0017219C">
            <w:pPr>
              <w:rPr>
                <w:rFonts w:cs="Arial"/>
                <w:szCs w:val="22"/>
              </w:rPr>
            </w:pPr>
            <w:r w:rsidRPr="00EB4DEF">
              <w:rPr>
                <w:rFonts w:cs="Arial"/>
                <w:szCs w:val="22"/>
              </w:rPr>
              <w:t xml:space="preserve">The </w:t>
            </w:r>
            <w:r w:rsidR="00876C4B">
              <w:rPr>
                <w:rFonts w:cs="Arial"/>
                <w:szCs w:val="22"/>
              </w:rPr>
              <w:t>d</w:t>
            </w:r>
            <w:r w:rsidRPr="00EB4DEF">
              <w:rPr>
                <w:rFonts w:cs="Arial"/>
                <w:szCs w:val="22"/>
              </w:rPr>
              <w:t xml:space="preserve">ivision’s boundary follows the Waterloo to Woking railway line which separates Hersham from Walton to the north, from the River Mole in the east to the A317.  The western boundary line follows the A317 onto the B365, Seven Hills Road, a main road which marks the dividing line between Hersham and Weybridge.  When the boundary line meets the A3, it moves south-west and then follows the line of the River Mole all the way back to the north-eastern corner where it meets the railway.    </w:t>
            </w:r>
          </w:p>
          <w:p w14:paraId="61BC9109" w14:textId="77777777" w:rsidR="0017219C" w:rsidRPr="00E94BE8" w:rsidRDefault="0017219C">
            <w:pPr>
              <w:rPr>
                <w:rFonts w:cs="Arial"/>
                <w:szCs w:val="22"/>
                <w:highlight w:val="yellow"/>
              </w:rPr>
            </w:pPr>
          </w:p>
        </w:tc>
      </w:tr>
      <w:tr w:rsidR="0017219C" w14:paraId="31C8FE69" w14:textId="77777777" w:rsidTr="0017219C">
        <w:tc>
          <w:tcPr>
            <w:tcW w:w="3045" w:type="dxa"/>
          </w:tcPr>
          <w:p w14:paraId="32CBAB75" w14:textId="77777777" w:rsidR="0017219C" w:rsidRPr="005A6209" w:rsidRDefault="0017219C">
            <w:pPr>
              <w:spacing w:before="240"/>
              <w:jc w:val="center"/>
              <w:rPr>
                <w:rFonts w:cs="Arial"/>
                <w:b/>
                <w:bCs/>
                <w:szCs w:val="22"/>
              </w:rPr>
            </w:pPr>
            <w:r w:rsidRPr="005A6209">
              <w:rPr>
                <w:rFonts w:cs="Arial"/>
                <w:b/>
                <w:bCs/>
                <w:szCs w:val="22"/>
              </w:rPr>
              <w:t>The Dittons</w:t>
            </w:r>
          </w:p>
        </w:tc>
        <w:tc>
          <w:tcPr>
            <w:tcW w:w="1321" w:type="dxa"/>
          </w:tcPr>
          <w:p w14:paraId="4A7D8730" w14:textId="39675184" w:rsidR="0017219C" w:rsidRPr="00266749" w:rsidRDefault="0017219C">
            <w:pPr>
              <w:spacing w:before="240"/>
              <w:jc w:val="center"/>
              <w:rPr>
                <w:rFonts w:cs="Arial"/>
                <w:szCs w:val="22"/>
                <w:highlight w:val="yellow"/>
              </w:rPr>
            </w:pPr>
            <w:r w:rsidRPr="00113FFD">
              <w:rPr>
                <w:rFonts w:cs="Arial"/>
                <w:szCs w:val="22"/>
              </w:rPr>
              <w:t>12,</w:t>
            </w:r>
            <w:r w:rsidR="00113FFD" w:rsidRPr="00113FFD">
              <w:rPr>
                <w:rFonts w:cs="Arial"/>
                <w:szCs w:val="22"/>
              </w:rPr>
              <w:t>730</w:t>
            </w:r>
          </w:p>
        </w:tc>
        <w:tc>
          <w:tcPr>
            <w:tcW w:w="1280" w:type="dxa"/>
          </w:tcPr>
          <w:p w14:paraId="4CB8148D" w14:textId="77777777" w:rsidR="0017219C" w:rsidRPr="00266749" w:rsidRDefault="0017219C">
            <w:pPr>
              <w:spacing w:before="240"/>
              <w:jc w:val="center"/>
              <w:rPr>
                <w:rFonts w:cs="Arial"/>
                <w:szCs w:val="22"/>
                <w:highlight w:val="yellow"/>
              </w:rPr>
            </w:pPr>
            <w:r w:rsidRPr="00113FFD">
              <w:rPr>
                <w:rFonts w:cs="Arial"/>
                <w:szCs w:val="22"/>
              </w:rPr>
              <w:t>4%</w:t>
            </w:r>
          </w:p>
        </w:tc>
        <w:tc>
          <w:tcPr>
            <w:tcW w:w="9375" w:type="dxa"/>
          </w:tcPr>
          <w:p w14:paraId="2CC3062C" w14:textId="77777777" w:rsidR="0017219C" w:rsidRDefault="0017219C">
            <w:pPr>
              <w:rPr>
                <w:rFonts w:cs="Arial"/>
                <w:szCs w:val="22"/>
              </w:rPr>
            </w:pPr>
          </w:p>
          <w:p w14:paraId="0BD6EE54" w14:textId="568AFAC4" w:rsidR="0017219C" w:rsidRPr="00DE2BB3" w:rsidRDefault="0017219C">
            <w:pPr>
              <w:rPr>
                <w:rFonts w:cs="Arial"/>
                <w:b/>
                <w:bCs/>
                <w:i/>
                <w:iCs/>
                <w:szCs w:val="22"/>
              </w:rPr>
            </w:pPr>
            <w:r w:rsidRPr="00DE2BB3">
              <w:rPr>
                <w:rFonts w:cs="Arial"/>
                <w:szCs w:val="22"/>
              </w:rPr>
              <w:t xml:space="preserve">The </w:t>
            </w:r>
            <w:r w:rsidR="00876C4B">
              <w:rPr>
                <w:rFonts w:cs="Arial"/>
                <w:szCs w:val="22"/>
              </w:rPr>
              <w:t>d</w:t>
            </w:r>
            <w:r w:rsidRPr="00DE2BB3">
              <w:rPr>
                <w:rFonts w:cs="Arial"/>
                <w:szCs w:val="22"/>
              </w:rPr>
              <w:t xml:space="preserve">ivision of the Dittons consists of three distinct communities – Thames Ditton, Weston Green and Long Ditton – which each have active residents’ associations.  </w:t>
            </w:r>
          </w:p>
          <w:p w14:paraId="4F81B62D" w14:textId="77777777" w:rsidR="0017219C" w:rsidRPr="00DE2BB3" w:rsidRDefault="0017219C">
            <w:pPr>
              <w:rPr>
                <w:rFonts w:cs="Arial"/>
                <w:szCs w:val="22"/>
              </w:rPr>
            </w:pPr>
          </w:p>
          <w:p w14:paraId="3E36B5E3" w14:textId="34820969" w:rsidR="0017219C" w:rsidRPr="00DE2BB3" w:rsidRDefault="0017219C">
            <w:pPr>
              <w:rPr>
                <w:rFonts w:cs="Arial"/>
                <w:szCs w:val="22"/>
              </w:rPr>
            </w:pPr>
            <w:r w:rsidRPr="00DE2BB3">
              <w:rPr>
                <w:rFonts w:cs="Arial"/>
                <w:szCs w:val="22"/>
              </w:rPr>
              <w:t xml:space="preserve">The eastern boundary of the </w:t>
            </w:r>
            <w:r w:rsidR="00A74EFE">
              <w:rPr>
                <w:rFonts w:cs="Arial"/>
                <w:szCs w:val="22"/>
              </w:rPr>
              <w:t>d</w:t>
            </w:r>
            <w:r w:rsidRPr="00DE2BB3">
              <w:rPr>
                <w:rFonts w:cs="Arial"/>
                <w:szCs w:val="22"/>
              </w:rPr>
              <w:t>ivision is the County Border, following the River Thames as it heads north</w:t>
            </w:r>
          </w:p>
          <w:p w14:paraId="73E632D1" w14:textId="77777777" w:rsidR="00DE2BB3" w:rsidRDefault="00DE2BB3">
            <w:pPr>
              <w:rPr>
                <w:rFonts w:cs="Arial"/>
                <w:szCs w:val="22"/>
              </w:rPr>
            </w:pPr>
          </w:p>
          <w:p w14:paraId="56E6B5C2" w14:textId="77777777" w:rsidR="00EB0349" w:rsidRDefault="00DE2BB3">
            <w:pPr>
              <w:rPr>
                <w:rFonts w:cs="Arial"/>
                <w:szCs w:val="22"/>
              </w:rPr>
            </w:pPr>
            <w:r>
              <w:rPr>
                <w:rFonts w:cs="Arial"/>
                <w:szCs w:val="22"/>
              </w:rPr>
              <w:t>T</w:t>
            </w:r>
            <w:r w:rsidR="0017219C" w:rsidRPr="00DE2BB3">
              <w:rPr>
                <w:rFonts w:cs="Arial"/>
                <w:szCs w:val="22"/>
              </w:rPr>
              <w:t xml:space="preserve">he western boundary follows Hampton Court Way until the junction with Ember Court Road, then follows Ember Court Road, into Ember Lane and Station Road until it reaches the London to Woking railway line.  </w:t>
            </w:r>
            <w:r w:rsidR="00047089">
              <w:rPr>
                <w:rFonts w:cs="Arial"/>
                <w:szCs w:val="22"/>
              </w:rPr>
              <w:t>The southern boundary has been amended – as set out in the description for Hinchley Wood, Claygate and Esher above.</w:t>
            </w:r>
          </w:p>
          <w:p w14:paraId="27F309BA" w14:textId="77777777" w:rsidR="0017219C" w:rsidRPr="00DE2BB3" w:rsidRDefault="0017219C">
            <w:pPr>
              <w:rPr>
                <w:rFonts w:cs="Arial"/>
                <w:szCs w:val="22"/>
              </w:rPr>
            </w:pPr>
          </w:p>
        </w:tc>
      </w:tr>
      <w:tr w:rsidR="0017219C" w14:paraId="7DF0692D" w14:textId="77777777" w:rsidTr="0017219C">
        <w:tc>
          <w:tcPr>
            <w:tcW w:w="3045" w:type="dxa"/>
          </w:tcPr>
          <w:p w14:paraId="06D4D3D2" w14:textId="77777777" w:rsidR="0017219C" w:rsidRPr="005A6209" w:rsidRDefault="0017219C">
            <w:pPr>
              <w:spacing w:before="240"/>
              <w:jc w:val="center"/>
              <w:rPr>
                <w:rFonts w:cs="Arial"/>
                <w:b/>
                <w:bCs/>
                <w:szCs w:val="22"/>
              </w:rPr>
            </w:pPr>
            <w:r w:rsidRPr="005A6209">
              <w:rPr>
                <w:rFonts w:cs="Arial"/>
                <w:b/>
                <w:bCs/>
                <w:szCs w:val="22"/>
              </w:rPr>
              <w:t>East Molesey and Esher</w:t>
            </w:r>
          </w:p>
        </w:tc>
        <w:tc>
          <w:tcPr>
            <w:tcW w:w="1321" w:type="dxa"/>
          </w:tcPr>
          <w:p w14:paraId="2DCED251" w14:textId="77777777" w:rsidR="0017219C" w:rsidRPr="005A6209" w:rsidRDefault="0017219C">
            <w:pPr>
              <w:spacing w:before="240"/>
              <w:jc w:val="center"/>
              <w:rPr>
                <w:rFonts w:cs="Arial"/>
                <w:szCs w:val="22"/>
              </w:rPr>
            </w:pPr>
            <w:r w:rsidRPr="005A6209">
              <w:rPr>
                <w:rFonts w:cs="Arial"/>
                <w:szCs w:val="22"/>
              </w:rPr>
              <w:t>11,821</w:t>
            </w:r>
          </w:p>
        </w:tc>
        <w:tc>
          <w:tcPr>
            <w:tcW w:w="1280" w:type="dxa"/>
          </w:tcPr>
          <w:p w14:paraId="72673BA6" w14:textId="77777777" w:rsidR="0017219C" w:rsidRPr="005A6209" w:rsidRDefault="0017219C">
            <w:pPr>
              <w:spacing w:before="240"/>
              <w:jc w:val="center"/>
              <w:rPr>
                <w:rFonts w:cs="Arial"/>
                <w:szCs w:val="22"/>
              </w:rPr>
            </w:pPr>
            <w:r w:rsidRPr="005A6209">
              <w:rPr>
                <w:rFonts w:cs="Arial"/>
                <w:szCs w:val="22"/>
              </w:rPr>
              <w:t>-1%</w:t>
            </w:r>
          </w:p>
        </w:tc>
        <w:tc>
          <w:tcPr>
            <w:tcW w:w="9375" w:type="dxa"/>
          </w:tcPr>
          <w:p w14:paraId="650B10C4" w14:textId="77777777" w:rsidR="0017219C" w:rsidRPr="00EB4DEF" w:rsidRDefault="0017219C">
            <w:pPr>
              <w:rPr>
                <w:rFonts w:cs="Arial"/>
                <w:szCs w:val="22"/>
              </w:rPr>
            </w:pPr>
          </w:p>
          <w:p w14:paraId="2FB91072" w14:textId="3290AC2C" w:rsidR="0017219C" w:rsidRPr="00EB4DEF" w:rsidRDefault="0017219C">
            <w:pPr>
              <w:rPr>
                <w:rFonts w:cs="Arial"/>
                <w:szCs w:val="22"/>
              </w:rPr>
            </w:pPr>
            <w:r w:rsidRPr="00EB4DEF">
              <w:rPr>
                <w:rFonts w:cs="Arial"/>
                <w:szCs w:val="22"/>
              </w:rPr>
              <w:t>There are no suggested change</w:t>
            </w:r>
            <w:r>
              <w:rPr>
                <w:rFonts w:cs="Arial"/>
                <w:szCs w:val="22"/>
              </w:rPr>
              <w:t>s</w:t>
            </w:r>
            <w:r w:rsidRPr="00EB4DEF">
              <w:rPr>
                <w:rFonts w:cs="Arial"/>
                <w:szCs w:val="22"/>
              </w:rPr>
              <w:t xml:space="preserve"> to this </w:t>
            </w:r>
            <w:r w:rsidR="00A74EFE">
              <w:rPr>
                <w:rFonts w:cs="Arial"/>
                <w:szCs w:val="22"/>
              </w:rPr>
              <w:t>d</w:t>
            </w:r>
            <w:r w:rsidRPr="00EB4DEF">
              <w:rPr>
                <w:rFonts w:cs="Arial"/>
                <w:szCs w:val="22"/>
              </w:rPr>
              <w:t>ivision.</w:t>
            </w:r>
          </w:p>
          <w:p w14:paraId="69B8BCC7" w14:textId="77777777" w:rsidR="0017219C" w:rsidRPr="00EB4DEF" w:rsidRDefault="0017219C">
            <w:pPr>
              <w:rPr>
                <w:rFonts w:cs="Arial"/>
                <w:szCs w:val="22"/>
              </w:rPr>
            </w:pPr>
          </w:p>
          <w:p w14:paraId="6F2F168D" w14:textId="345407E1" w:rsidR="0017219C" w:rsidRPr="00EB4DEF" w:rsidRDefault="0017219C">
            <w:pPr>
              <w:rPr>
                <w:rFonts w:cs="Arial"/>
                <w:szCs w:val="22"/>
              </w:rPr>
            </w:pPr>
            <w:r w:rsidRPr="00EB4DEF">
              <w:rPr>
                <w:rFonts w:cs="Arial"/>
                <w:szCs w:val="22"/>
              </w:rPr>
              <w:t xml:space="preserve">The north of the </w:t>
            </w:r>
            <w:r w:rsidR="00A74EFE">
              <w:rPr>
                <w:rFonts w:cs="Arial"/>
                <w:szCs w:val="22"/>
              </w:rPr>
              <w:t>d</w:t>
            </w:r>
            <w:r w:rsidRPr="00EB4DEF">
              <w:rPr>
                <w:rFonts w:cs="Arial"/>
                <w:szCs w:val="22"/>
              </w:rPr>
              <w:t xml:space="preserve">ivision follows the County Border (the River Thames) before heading south between East Molesey and Thames Ditton on the A309 and then along the B3379 Ember Lane, providing good road links between the northern and southern parts of the </w:t>
            </w:r>
            <w:r w:rsidR="00A25959">
              <w:rPr>
                <w:rFonts w:cs="Arial"/>
                <w:szCs w:val="22"/>
              </w:rPr>
              <w:t>d</w:t>
            </w:r>
            <w:r w:rsidRPr="00EB4DEF">
              <w:rPr>
                <w:rFonts w:cs="Arial"/>
                <w:szCs w:val="22"/>
              </w:rPr>
              <w:t xml:space="preserve">ivision. The border then follows south between Esher and Claygate to the southern boundary of the </w:t>
            </w:r>
            <w:r w:rsidR="00A25959">
              <w:rPr>
                <w:rFonts w:cs="Arial"/>
                <w:szCs w:val="22"/>
              </w:rPr>
              <w:t>d</w:t>
            </w:r>
            <w:r w:rsidRPr="00EB4DEF">
              <w:rPr>
                <w:rFonts w:cs="Arial"/>
                <w:szCs w:val="22"/>
              </w:rPr>
              <w:t>ivision which follows the A3, the main arterial road in the area, separating Esher from Oxshott. Finally, the western boundary follows the River Mole from the south to East Molesey and then the main roads between East and West Molesey - Seymour Road, Pemberton Road, onto Vine Road and Hurst Lane – back to the County Border.</w:t>
            </w:r>
          </w:p>
          <w:p w14:paraId="514AB5F6" w14:textId="3A3391AF" w:rsidR="00B82835" w:rsidRDefault="00B82835">
            <w:pPr>
              <w:rPr>
                <w:rFonts w:cs="Arial"/>
                <w:szCs w:val="22"/>
              </w:rPr>
            </w:pPr>
          </w:p>
          <w:p w14:paraId="7C810D84" w14:textId="77777777" w:rsidR="0017219C" w:rsidRPr="00E94BE8" w:rsidRDefault="0017219C">
            <w:pPr>
              <w:rPr>
                <w:rFonts w:cs="Arial"/>
                <w:szCs w:val="22"/>
                <w:highlight w:val="yellow"/>
              </w:rPr>
            </w:pPr>
          </w:p>
        </w:tc>
      </w:tr>
      <w:tr w:rsidR="0017219C" w14:paraId="52AAAC8D" w14:textId="77777777" w:rsidTr="0017219C">
        <w:tc>
          <w:tcPr>
            <w:tcW w:w="3045" w:type="dxa"/>
          </w:tcPr>
          <w:p w14:paraId="0AFFD6AA" w14:textId="77777777" w:rsidR="0017219C" w:rsidRPr="005A6209" w:rsidRDefault="0017219C">
            <w:pPr>
              <w:spacing w:before="240"/>
              <w:jc w:val="center"/>
              <w:rPr>
                <w:rFonts w:cs="Arial"/>
                <w:b/>
                <w:bCs/>
                <w:szCs w:val="22"/>
              </w:rPr>
            </w:pPr>
            <w:r w:rsidRPr="005A6209">
              <w:rPr>
                <w:rFonts w:cs="Arial"/>
                <w:b/>
                <w:bCs/>
                <w:szCs w:val="22"/>
              </w:rPr>
              <w:t>West Molesey</w:t>
            </w:r>
          </w:p>
        </w:tc>
        <w:tc>
          <w:tcPr>
            <w:tcW w:w="1321" w:type="dxa"/>
          </w:tcPr>
          <w:p w14:paraId="13DB0037" w14:textId="77777777" w:rsidR="0017219C" w:rsidRPr="005A6209" w:rsidRDefault="0017219C">
            <w:pPr>
              <w:spacing w:before="240"/>
              <w:jc w:val="center"/>
              <w:rPr>
                <w:rFonts w:cs="Arial"/>
                <w:szCs w:val="22"/>
              </w:rPr>
            </w:pPr>
            <w:r w:rsidRPr="005A6209">
              <w:rPr>
                <w:rFonts w:cs="Arial"/>
                <w:szCs w:val="22"/>
              </w:rPr>
              <w:t>10,662</w:t>
            </w:r>
          </w:p>
        </w:tc>
        <w:tc>
          <w:tcPr>
            <w:tcW w:w="1280" w:type="dxa"/>
          </w:tcPr>
          <w:p w14:paraId="53A40A42" w14:textId="77777777" w:rsidR="0017219C" w:rsidRPr="005A6209" w:rsidRDefault="0017219C">
            <w:pPr>
              <w:spacing w:before="240"/>
              <w:jc w:val="center"/>
              <w:rPr>
                <w:rFonts w:cs="Arial"/>
                <w:szCs w:val="22"/>
              </w:rPr>
            </w:pPr>
            <w:r w:rsidRPr="005A6209">
              <w:rPr>
                <w:rFonts w:cs="Arial"/>
                <w:szCs w:val="22"/>
              </w:rPr>
              <w:t>-10%</w:t>
            </w:r>
          </w:p>
        </w:tc>
        <w:tc>
          <w:tcPr>
            <w:tcW w:w="9375" w:type="dxa"/>
          </w:tcPr>
          <w:p w14:paraId="0F266C8D" w14:textId="77777777" w:rsidR="0017219C" w:rsidRPr="00E94BE8" w:rsidRDefault="0017219C">
            <w:pPr>
              <w:rPr>
                <w:rFonts w:cs="Arial"/>
                <w:szCs w:val="22"/>
                <w:highlight w:val="yellow"/>
              </w:rPr>
            </w:pPr>
          </w:p>
          <w:p w14:paraId="501F0E00" w14:textId="3959D23C" w:rsidR="0017219C" w:rsidRDefault="0017219C">
            <w:pPr>
              <w:rPr>
                <w:rFonts w:cs="Arial"/>
                <w:szCs w:val="22"/>
              </w:rPr>
            </w:pPr>
            <w:r>
              <w:rPr>
                <w:rFonts w:cs="Arial"/>
                <w:szCs w:val="22"/>
              </w:rPr>
              <w:t xml:space="preserve">There are no suggested changes to this </w:t>
            </w:r>
            <w:r w:rsidR="00A25959">
              <w:rPr>
                <w:rFonts w:cs="Arial"/>
                <w:szCs w:val="22"/>
              </w:rPr>
              <w:t>d</w:t>
            </w:r>
            <w:r>
              <w:rPr>
                <w:rFonts w:cs="Arial"/>
                <w:szCs w:val="22"/>
              </w:rPr>
              <w:t>ivision.</w:t>
            </w:r>
          </w:p>
          <w:p w14:paraId="5268F95B" w14:textId="77777777" w:rsidR="0017219C" w:rsidRDefault="0017219C">
            <w:pPr>
              <w:rPr>
                <w:rFonts w:cs="Arial"/>
                <w:szCs w:val="22"/>
              </w:rPr>
            </w:pPr>
          </w:p>
          <w:p w14:paraId="2032EC5B" w14:textId="36CA6DA9" w:rsidR="0017219C" w:rsidRPr="00EB4DEF" w:rsidRDefault="0017219C">
            <w:pPr>
              <w:rPr>
                <w:rFonts w:cs="Arial"/>
                <w:szCs w:val="22"/>
              </w:rPr>
            </w:pPr>
            <w:r w:rsidRPr="00EB4DEF">
              <w:rPr>
                <w:rFonts w:cs="Arial"/>
                <w:szCs w:val="22"/>
              </w:rPr>
              <w:t xml:space="preserve">The </w:t>
            </w:r>
            <w:r w:rsidR="00A25959">
              <w:rPr>
                <w:rFonts w:cs="Arial"/>
                <w:szCs w:val="22"/>
              </w:rPr>
              <w:t>d</w:t>
            </w:r>
            <w:r w:rsidRPr="00EB4DEF">
              <w:rPr>
                <w:rFonts w:cs="Arial"/>
                <w:szCs w:val="22"/>
              </w:rPr>
              <w:t xml:space="preserve">ivision of West Molesey is defined on three sides by natural features.  To the north, it follows the River Thames (which is also the County Border), to the west, the edge of Bessborough Reservoir and to the south, the Dead River.  The eastern boundary marks the line between East and West Molesey, two distinct communities, using the main roads of Seymour Road, Pemberton Road, onto Vine Road and Hurst Lane.  </w:t>
            </w:r>
          </w:p>
          <w:p w14:paraId="5CA21FCC" w14:textId="77777777" w:rsidR="0017219C" w:rsidRPr="00E94BE8" w:rsidRDefault="0017219C">
            <w:pPr>
              <w:rPr>
                <w:rFonts w:cs="Arial"/>
                <w:szCs w:val="22"/>
                <w:highlight w:val="yellow"/>
              </w:rPr>
            </w:pPr>
          </w:p>
        </w:tc>
      </w:tr>
      <w:tr w:rsidR="0017219C" w14:paraId="65D690FC" w14:textId="77777777" w:rsidTr="0017219C">
        <w:tc>
          <w:tcPr>
            <w:tcW w:w="3045" w:type="dxa"/>
          </w:tcPr>
          <w:p w14:paraId="78AA7616" w14:textId="77777777" w:rsidR="0017219C" w:rsidRPr="005A6209" w:rsidRDefault="0017219C">
            <w:pPr>
              <w:spacing w:before="240"/>
              <w:jc w:val="center"/>
              <w:rPr>
                <w:b/>
                <w:bCs/>
              </w:rPr>
            </w:pPr>
            <w:r w:rsidRPr="005A6209">
              <w:rPr>
                <w:b/>
                <w:bCs/>
              </w:rPr>
              <w:t>Walton</w:t>
            </w:r>
          </w:p>
          <w:p w14:paraId="3E81142A" w14:textId="77777777" w:rsidR="0017219C" w:rsidRPr="005A6209" w:rsidRDefault="0017219C">
            <w:pPr>
              <w:spacing w:before="240"/>
              <w:jc w:val="center"/>
              <w:rPr>
                <w:rFonts w:cs="Arial"/>
                <w:b/>
                <w:bCs/>
                <w:szCs w:val="22"/>
              </w:rPr>
            </w:pPr>
          </w:p>
        </w:tc>
        <w:tc>
          <w:tcPr>
            <w:tcW w:w="1321" w:type="dxa"/>
          </w:tcPr>
          <w:p w14:paraId="78EF77EE" w14:textId="77777777" w:rsidR="0017219C" w:rsidRPr="005A6209" w:rsidRDefault="0017219C">
            <w:pPr>
              <w:spacing w:before="240"/>
              <w:jc w:val="center"/>
              <w:rPr>
                <w:rFonts w:cs="Arial"/>
                <w:szCs w:val="22"/>
              </w:rPr>
            </w:pPr>
            <w:r w:rsidRPr="005A6209">
              <w:rPr>
                <w:rFonts w:cs="Arial"/>
                <w:szCs w:val="22"/>
              </w:rPr>
              <w:t>12,197</w:t>
            </w:r>
          </w:p>
        </w:tc>
        <w:tc>
          <w:tcPr>
            <w:tcW w:w="1280" w:type="dxa"/>
          </w:tcPr>
          <w:p w14:paraId="15D8DC26" w14:textId="77777777" w:rsidR="0017219C" w:rsidRPr="005A6209" w:rsidRDefault="0017219C">
            <w:pPr>
              <w:spacing w:before="240"/>
              <w:jc w:val="center"/>
              <w:rPr>
                <w:rFonts w:cs="Arial"/>
                <w:szCs w:val="22"/>
              </w:rPr>
            </w:pPr>
            <w:r w:rsidRPr="005A6209">
              <w:rPr>
                <w:rFonts w:cs="Arial"/>
                <w:szCs w:val="22"/>
              </w:rPr>
              <w:t>2%</w:t>
            </w:r>
          </w:p>
        </w:tc>
        <w:tc>
          <w:tcPr>
            <w:tcW w:w="9375" w:type="dxa"/>
          </w:tcPr>
          <w:p w14:paraId="1596D93D" w14:textId="77777777" w:rsidR="0017219C" w:rsidRPr="00E94BE8" w:rsidRDefault="0017219C">
            <w:pPr>
              <w:rPr>
                <w:rFonts w:cs="Arial"/>
                <w:szCs w:val="22"/>
                <w:highlight w:val="yellow"/>
              </w:rPr>
            </w:pPr>
          </w:p>
          <w:p w14:paraId="5718BE2B" w14:textId="025D407E" w:rsidR="0017219C" w:rsidRDefault="0017219C">
            <w:pPr>
              <w:rPr>
                <w:rFonts w:cs="Arial"/>
                <w:szCs w:val="22"/>
              </w:rPr>
            </w:pPr>
            <w:r>
              <w:rPr>
                <w:rFonts w:cs="Arial"/>
                <w:szCs w:val="22"/>
              </w:rPr>
              <w:t xml:space="preserve">There are no suggested changes to this </w:t>
            </w:r>
            <w:r w:rsidR="00D93D31">
              <w:rPr>
                <w:rFonts w:cs="Arial"/>
                <w:szCs w:val="22"/>
              </w:rPr>
              <w:t>d</w:t>
            </w:r>
            <w:r>
              <w:rPr>
                <w:rFonts w:cs="Arial"/>
                <w:szCs w:val="22"/>
              </w:rPr>
              <w:t xml:space="preserve">ivision. </w:t>
            </w:r>
          </w:p>
          <w:p w14:paraId="6B445C9F" w14:textId="77777777" w:rsidR="0017219C" w:rsidRDefault="0017219C">
            <w:pPr>
              <w:rPr>
                <w:rFonts w:cs="Arial"/>
                <w:szCs w:val="22"/>
              </w:rPr>
            </w:pPr>
          </w:p>
          <w:p w14:paraId="38A23A45" w14:textId="1827D54F" w:rsidR="0017219C" w:rsidRPr="00EB4DEF" w:rsidRDefault="0017219C">
            <w:pPr>
              <w:rPr>
                <w:rFonts w:cs="Arial"/>
                <w:szCs w:val="22"/>
              </w:rPr>
            </w:pPr>
            <w:r w:rsidRPr="00EB4DEF">
              <w:rPr>
                <w:rFonts w:cs="Arial"/>
                <w:szCs w:val="22"/>
              </w:rPr>
              <w:t xml:space="preserve">The </w:t>
            </w:r>
            <w:r w:rsidR="00D93D31">
              <w:rPr>
                <w:rFonts w:cs="Arial"/>
                <w:szCs w:val="22"/>
              </w:rPr>
              <w:t>d</w:t>
            </w:r>
            <w:r w:rsidRPr="00EB4DEF">
              <w:rPr>
                <w:rFonts w:cs="Arial"/>
                <w:szCs w:val="22"/>
              </w:rPr>
              <w:t xml:space="preserve">ivision of Walton follows the County Border to the north from the edge of Bessborough Reservoir to Walton Bridge.  It then follows the edge of Walton town, along Walton Bridge Street, Hepburn Way onto the High Street.  The southern boundary continues through Walton , skirting the back of Osborne Road, Highfield Road, Esher Avenue to Sidney Road, heading south to Rodney Road and north east to Ambleside avenue, Rydens Road, Normanhurst Road and around the edge of the Rugby Ground to Molesey Road, which it follows south to the railway and then east to the River Mole.  The eastern boundary follows the River Mole until it meets the Dead River and then follows the Dead River and the main roads along the reservoirs back to the County Border.  </w:t>
            </w:r>
          </w:p>
          <w:p w14:paraId="42A2424E" w14:textId="77777777" w:rsidR="0017219C" w:rsidRPr="00E94BE8" w:rsidRDefault="0017219C">
            <w:pPr>
              <w:rPr>
                <w:rFonts w:cs="Arial"/>
                <w:szCs w:val="22"/>
                <w:highlight w:val="yellow"/>
              </w:rPr>
            </w:pPr>
          </w:p>
        </w:tc>
      </w:tr>
      <w:tr w:rsidR="0017219C" w14:paraId="30EFA75B" w14:textId="77777777" w:rsidTr="0017219C">
        <w:tc>
          <w:tcPr>
            <w:tcW w:w="3045" w:type="dxa"/>
          </w:tcPr>
          <w:p w14:paraId="73850DE7" w14:textId="77777777" w:rsidR="0017219C" w:rsidRPr="005A6209" w:rsidRDefault="0017219C">
            <w:pPr>
              <w:spacing w:before="240"/>
              <w:jc w:val="center"/>
              <w:rPr>
                <w:rFonts w:cs="Arial"/>
                <w:b/>
                <w:bCs/>
                <w:szCs w:val="22"/>
              </w:rPr>
            </w:pPr>
            <w:r w:rsidRPr="005A6209">
              <w:rPr>
                <w:rFonts w:cs="Arial"/>
                <w:b/>
                <w:bCs/>
                <w:szCs w:val="22"/>
              </w:rPr>
              <w:t>Weybridge</w:t>
            </w:r>
          </w:p>
        </w:tc>
        <w:tc>
          <w:tcPr>
            <w:tcW w:w="1321" w:type="dxa"/>
          </w:tcPr>
          <w:p w14:paraId="52734882" w14:textId="77777777" w:rsidR="0017219C" w:rsidRPr="005A6209" w:rsidRDefault="0017219C">
            <w:pPr>
              <w:spacing w:before="240"/>
              <w:jc w:val="center"/>
              <w:rPr>
                <w:rFonts w:cs="Arial"/>
                <w:szCs w:val="22"/>
              </w:rPr>
            </w:pPr>
            <w:r w:rsidRPr="005A6209">
              <w:rPr>
                <w:rFonts w:cs="Arial"/>
                <w:szCs w:val="22"/>
              </w:rPr>
              <w:t>13,160</w:t>
            </w:r>
          </w:p>
        </w:tc>
        <w:tc>
          <w:tcPr>
            <w:tcW w:w="1280" w:type="dxa"/>
          </w:tcPr>
          <w:p w14:paraId="2BB18B27" w14:textId="77777777" w:rsidR="0017219C" w:rsidRPr="005A6209" w:rsidRDefault="0017219C">
            <w:pPr>
              <w:spacing w:before="240"/>
              <w:jc w:val="center"/>
              <w:rPr>
                <w:rFonts w:cs="Arial"/>
                <w:szCs w:val="22"/>
              </w:rPr>
            </w:pPr>
            <w:r w:rsidRPr="005A6209">
              <w:rPr>
                <w:rFonts w:cs="Arial"/>
                <w:szCs w:val="22"/>
              </w:rPr>
              <w:t>10%</w:t>
            </w:r>
          </w:p>
        </w:tc>
        <w:tc>
          <w:tcPr>
            <w:tcW w:w="9375" w:type="dxa"/>
          </w:tcPr>
          <w:p w14:paraId="4DEA0FAA" w14:textId="77777777" w:rsidR="0017219C" w:rsidRPr="00E94BE8" w:rsidRDefault="0017219C">
            <w:pPr>
              <w:pStyle w:val="BodyText2"/>
              <w:rPr>
                <w:szCs w:val="22"/>
                <w:highlight w:val="yellow"/>
              </w:rPr>
            </w:pPr>
          </w:p>
          <w:p w14:paraId="2767DB0E" w14:textId="7A5F1835" w:rsidR="0017219C" w:rsidRPr="00710B8B" w:rsidRDefault="0017219C">
            <w:pPr>
              <w:rPr>
                <w:rFonts w:cs="Arial"/>
                <w:szCs w:val="22"/>
              </w:rPr>
            </w:pPr>
            <w:r w:rsidRPr="00710B8B">
              <w:rPr>
                <w:rFonts w:cs="Arial"/>
                <w:szCs w:val="22"/>
              </w:rPr>
              <w:t xml:space="preserve">There are no suggested changes to this </w:t>
            </w:r>
            <w:r w:rsidR="008B2884">
              <w:rPr>
                <w:rFonts w:cs="Arial"/>
                <w:szCs w:val="22"/>
              </w:rPr>
              <w:t>d</w:t>
            </w:r>
            <w:r w:rsidRPr="00710B8B">
              <w:rPr>
                <w:rFonts w:cs="Arial"/>
                <w:szCs w:val="22"/>
              </w:rPr>
              <w:t xml:space="preserve">ivision. </w:t>
            </w:r>
          </w:p>
          <w:p w14:paraId="564B69F2" w14:textId="77777777" w:rsidR="0017219C" w:rsidRPr="00710B8B" w:rsidRDefault="0017219C">
            <w:pPr>
              <w:rPr>
                <w:rFonts w:cs="Arial"/>
                <w:szCs w:val="22"/>
              </w:rPr>
            </w:pPr>
          </w:p>
          <w:p w14:paraId="262C5C28" w14:textId="623D4C4D" w:rsidR="0017219C" w:rsidRPr="00710B8B" w:rsidRDefault="0017219C">
            <w:pPr>
              <w:rPr>
                <w:rFonts w:cs="Arial"/>
                <w:szCs w:val="22"/>
              </w:rPr>
            </w:pPr>
            <w:r w:rsidRPr="00710B8B">
              <w:rPr>
                <w:rFonts w:cs="Arial"/>
                <w:szCs w:val="22"/>
              </w:rPr>
              <w:t xml:space="preserve">The northern boundary of the </w:t>
            </w:r>
            <w:r w:rsidR="00D93D31">
              <w:rPr>
                <w:rFonts w:cs="Arial"/>
                <w:szCs w:val="22"/>
              </w:rPr>
              <w:t>d</w:t>
            </w:r>
            <w:r w:rsidRPr="00710B8B">
              <w:rPr>
                <w:rFonts w:cs="Arial"/>
                <w:szCs w:val="22"/>
              </w:rPr>
              <w:t>ivision of Weybridge follows the River Thames (which also marks the County Border) before moving south along the line of the River Wey and the border between Elmbridge and Woking.  When the border meets the A3, the southern boundary follows this major arterial road before heading north along Seven Hills Road which divides Weybridge from Hersham to the West.</w:t>
            </w:r>
          </w:p>
          <w:p w14:paraId="0ED82BF2" w14:textId="77777777" w:rsidR="0017219C" w:rsidRPr="00710B8B" w:rsidRDefault="0017219C">
            <w:pPr>
              <w:rPr>
                <w:rFonts w:cs="Arial"/>
                <w:b/>
                <w:bCs/>
                <w:i/>
                <w:iCs/>
                <w:szCs w:val="22"/>
              </w:rPr>
            </w:pPr>
          </w:p>
          <w:p w14:paraId="161AAC59" w14:textId="2D2C8FBD" w:rsidR="0017219C" w:rsidRPr="00710B8B" w:rsidRDefault="0017219C">
            <w:pPr>
              <w:rPr>
                <w:rFonts w:cs="Arial"/>
                <w:szCs w:val="22"/>
              </w:rPr>
            </w:pPr>
            <w:r w:rsidRPr="00710B8B">
              <w:rPr>
                <w:rFonts w:cs="Arial"/>
                <w:szCs w:val="22"/>
              </w:rPr>
              <w:t xml:space="preserve">The </w:t>
            </w:r>
            <w:r w:rsidR="00D93D31">
              <w:rPr>
                <w:rFonts w:cs="Arial"/>
                <w:szCs w:val="22"/>
              </w:rPr>
              <w:t>d</w:t>
            </w:r>
            <w:r w:rsidRPr="00710B8B">
              <w:rPr>
                <w:rFonts w:cs="Arial"/>
                <w:szCs w:val="22"/>
              </w:rPr>
              <w:t xml:space="preserve">ivision represents two distinct communities, those around Weybridge High Street and the St George’s Hill community. </w:t>
            </w:r>
          </w:p>
          <w:p w14:paraId="1852861C" w14:textId="77777777" w:rsidR="0017219C" w:rsidRPr="00E94BE8" w:rsidRDefault="0017219C">
            <w:pPr>
              <w:rPr>
                <w:rFonts w:cs="Arial"/>
                <w:szCs w:val="22"/>
                <w:highlight w:val="yellow"/>
              </w:rPr>
            </w:pPr>
          </w:p>
        </w:tc>
      </w:tr>
      <w:tr w:rsidR="0017219C" w14:paraId="725DDC89" w14:textId="77777777" w:rsidTr="0017219C">
        <w:tc>
          <w:tcPr>
            <w:tcW w:w="3045" w:type="dxa"/>
          </w:tcPr>
          <w:p w14:paraId="74F416F6" w14:textId="77777777" w:rsidR="0017219C" w:rsidRPr="005A6209" w:rsidRDefault="0017219C">
            <w:pPr>
              <w:spacing w:before="240"/>
              <w:jc w:val="center"/>
              <w:rPr>
                <w:rFonts w:cs="Arial"/>
                <w:b/>
                <w:bCs/>
                <w:szCs w:val="22"/>
              </w:rPr>
            </w:pPr>
            <w:r w:rsidRPr="005A6209">
              <w:rPr>
                <w:rFonts w:cs="Arial"/>
                <w:b/>
                <w:bCs/>
                <w:szCs w:val="22"/>
              </w:rPr>
              <w:t>Walton South and Oatlands</w:t>
            </w:r>
          </w:p>
        </w:tc>
        <w:tc>
          <w:tcPr>
            <w:tcW w:w="1321" w:type="dxa"/>
          </w:tcPr>
          <w:p w14:paraId="5321D174" w14:textId="77777777" w:rsidR="0017219C" w:rsidRPr="005A6209" w:rsidRDefault="0017219C">
            <w:pPr>
              <w:spacing w:before="240"/>
              <w:jc w:val="center"/>
              <w:rPr>
                <w:rFonts w:cs="Arial"/>
                <w:szCs w:val="22"/>
              </w:rPr>
            </w:pPr>
            <w:r w:rsidRPr="005A6209">
              <w:rPr>
                <w:rFonts w:cs="Arial"/>
                <w:szCs w:val="22"/>
              </w:rPr>
              <w:t>12,213</w:t>
            </w:r>
          </w:p>
        </w:tc>
        <w:tc>
          <w:tcPr>
            <w:tcW w:w="1280" w:type="dxa"/>
          </w:tcPr>
          <w:p w14:paraId="536D332B" w14:textId="77777777" w:rsidR="0017219C" w:rsidRPr="005A6209" w:rsidRDefault="0017219C">
            <w:pPr>
              <w:spacing w:before="240"/>
              <w:jc w:val="center"/>
              <w:rPr>
                <w:rFonts w:cs="Arial"/>
                <w:szCs w:val="22"/>
              </w:rPr>
            </w:pPr>
            <w:r w:rsidRPr="005A6209">
              <w:rPr>
                <w:rFonts w:cs="Arial"/>
                <w:szCs w:val="22"/>
              </w:rPr>
              <w:t>3%</w:t>
            </w:r>
          </w:p>
        </w:tc>
        <w:tc>
          <w:tcPr>
            <w:tcW w:w="9375" w:type="dxa"/>
          </w:tcPr>
          <w:p w14:paraId="7D784A13" w14:textId="77777777" w:rsidR="0017219C" w:rsidRPr="00710B8B" w:rsidRDefault="0017219C">
            <w:pPr>
              <w:rPr>
                <w:rFonts w:cs="Arial"/>
                <w:b/>
                <w:bCs/>
                <w:szCs w:val="22"/>
              </w:rPr>
            </w:pPr>
          </w:p>
          <w:p w14:paraId="0ABEBC15" w14:textId="227A36B4" w:rsidR="0017219C" w:rsidRPr="00710B8B" w:rsidRDefault="0017219C">
            <w:pPr>
              <w:rPr>
                <w:rFonts w:cs="Arial"/>
                <w:szCs w:val="22"/>
              </w:rPr>
            </w:pPr>
            <w:r w:rsidRPr="00710B8B">
              <w:rPr>
                <w:rFonts w:cs="Arial"/>
                <w:szCs w:val="22"/>
              </w:rPr>
              <w:t xml:space="preserve">There are no suggested changes to this </w:t>
            </w:r>
            <w:r w:rsidR="00D93D31">
              <w:rPr>
                <w:rFonts w:cs="Arial"/>
                <w:szCs w:val="22"/>
              </w:rPr>
              <w:t>d</w:t>
            </w:r>
            <w:r w:rsidRPr="00710B8B">
              <w:rPr>
                <w:rFonts w:cs="Arial"/>
                <w:szCs w:val="22"/>
              </w:rPr>
              <w:t>ivision.</w:t>
            </w:r>
          </w:p>
          <w:p w14:paraId="52422ACC" w14:textId="77777777" w:rsidR="0017219C" w:rsidRPr="00710B8B" w:rsidRDefault="0017219C">
            <w:pPr>
              <w:rPr>
                <w:rFonts w:cs="Arial"/>
                <w:szCs w:val="22"/>
              </w:rPr>
            </w:pPr>
          </w:p>
          <w:p w14:paraId="4F70C4A7" w14:textId="73258A7B" w:rsidR="0017219C" w:rsidRPr="00710B8B" w:rsidRDefault="0017219C">
            <w:pPr>
              <w:rPr>
                <w:rFonts w:cs="Arial"/>
                <w:szCs w:val="22"/>
              </w:rPr>
            </w:pPr>
            <w:r w:rsidRPr="00710B8B">
              <w:rPr>
                <w:rFonts w:cs="Arial"/>
                <w:szCs w:val="22"/>
              </w:rPr>
              <w:t xml:space="preserve">The southern boundary of the </w:t>
            </w:r>
            <w:r w:rsidR="00D93D31">
              <w:rPr>
                <w:rFonts w:cs="Arial"/>
                <w:szCs w:val="22"/>
              </w:rPr>
              <w:t>d</w:t>
            </w:r>
            <w:r w:rsidRPr="00710B8B">
              <w:rPr>
                <w:rFonts w:cs="Arial"/>
                <w:szCs w:val="22"/>
              </w:rPr>
              <w:t xml:space="preserve">ivision of Walton South and Oatlands follows the railway line from the A317 in the west to Molesey Road in the east.  The northern boundary follows the edge of Walton town, along Walton Bridge Street, Hepburn Way onto the High Street.  It then continues through Walton, skirting the back of Osborne Road, Highfield Road, Esher Avenue to Sidney Road, heading south to Rodney Road and north east to Ambleside Avenue, Rydens Road, Normanhurst Road and around the edge of the Rugby Ground to Molesey Road, which it follows south to the railway.  The north-western boundary runs along Broad Water and then skirts round the south of Oatlands until the junction with the railway.  </w:t>
            </w:r>
          </w:p>
          <w:p w14:paraId="34350DC4" w14:textId="77777777" w:rsidR="0017219C" w:rsidRPr="00E94BE8" w:rsidRDefault="0017219C">
            <w:pPr>
              <w:rPr>
                <w:rFonts w:cs="Arial"/>
                <w:szCs w:val="22"/>
                <w:highlight w:val="yellow"/>
              </w:rPr>
            </w:pPr>
          </w:p>
        </w:tc>
      </w:tr>
    </w:tbl>
    <w:p w14:paraId="15E266CA" w14:textId="77777777" w:rsidR="008256AD" w:rsidRDefault="008256AD">
      <w:pPr>
        <w:pStyle w:val="Heading1"/>
        <w:numPr>
          <w:ilvl w:val="0"/>
          <w:numId w:val="0"/>
        </w:numPr>
      </w:pPr>
    </w:p>
    <w:p w14:paraId="298DFFF8" w14:textId="77777777" w:rsidR="008256AD" w:rsidRDefault="008256AD">
      <w:pPr>
        <w:pStyle w:val="Heading1"/>
        <w:numPr>
          <w:ilvl w:val="0"/>
          <w:numId w:val="0"/>
        </w:numPr>
      </w:pPr>
      <w:r>
        <w:br w:type="page"/>
        <w:t>EPSOM AND EWELL</w:t>
      </w:r>
    </w:p>
    <w:p w14:paraId="47A1837E" w14:textId="77777777" w:rsidR="008256AD" w:rsidRDefault="008256AD"/>
    <w:p w14:paraId="63366B3E" w14:textId="4F29552D" w:rsidR="008256AD" w:rsidRDefault="0015113E">
      <w:r w:rsidRPr="0015113E">
        <w:t>For Epsom and Ewell, the proposal is for five divisions representing an electorate of 63,309. This would equate to an average electorate size for each division of 12,662.</w:t>
      </w:r>
    </w:p>
    <w:p w14:paraId="39BD065C" w14:textId="77777777" w:rsidR="008256AD" w:rsidRDefault="008256AD"/>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3"/>
        <w:gridCol w:w="1321"/>
        <w:gridCol w:w="1280"/>
        <w:gridCol w:w="9035"/>
      </w:tblGrid>
      <w:tr w:rsidR="0017219C" w14:paraId="7892F281" w14:textId="77777777" w:rsidTr="0017219C">
        <w:tc>
          <w:tcPr>
            <w:tcW w:w="3243" w:type="dxa"/>
          </w:tcPr>
          <w:p w14:paraId="23A9D349" w14:textId="77777777" w:rsidR="0017219C" w:rsidRDefault="0017219C">
            <w:pPr>
              <w:pStyle w:val="Heading4"/>
              <w:numPr>
                <w:ilvl w:val="0"/>
                <w:numId w:val="0"/>
              </w:numPr>
              <w:spacing w:before="120"/>
              <w:jc w:val="center"/>
              <w:rPr>
                <w:b/>
                <w:bCs/>
                <w:i w:val="0"/>
                <w:iCs w:val="0"/>
              </w:rPr>
            </w:pPr>
            <w:r>
              <w:rPr>
                <w:b/>
                <w:bCs/>
                <w:i w:val="0"/>
                <w:iCs w:val="0"/>
              </w:rPr>
              <w:t>Division Name</w:t>
            </w:r>
          </w:p>
        </w:tc>
        <w:tc>
          <w:tcPr>
            <w:tcW w:w="1321" w:type="dxa"/>
          </w:tcPr>
          <w:p w14:paraId="451B6585" w14:textId="77777777" w:rsidR="0017219C" w:rsidRDefault="0017219C">
            <w:pPr>
              <w:spacing w:before="120"/>
              <w:jc w:val="center"/>
              <w:rPr>
                <w:b/>
                <w:bCs/>
              </w:rPr>
            </w:pPr>
            <w:r>
              <w:rPr>
                <w:b/>
                <w:bCs/>
              </w:rPr>
              <w:t>2029 Forecast Electorate</w:t>
            </w:r>
          </w:p>
        </w:tc>
        <w:tc>
          <w:tcPr>
            <w:tcW w:w="1280" w:type="dxa"/>
          </w:tcPr>
          <w:p w14:paraId="47127C87" w14:textId="77777777" w:rsidR="0017219C" w:rsidRDefault="0017219C">
            <w:pPr>
              <w:spacing w:before="120"/>
              <w:jc w:val="center"/>
              <w:rPr>
                <w:b/>
                <w:bCs/>
              </w:rPr>
            </w:pPr>
            <w:r>
              <w:rPr>
                <w:b/>
                <w:bCs/>
              </w:rPr>
              <w:t>2029 Forecast Electorate Variance</w:t>
            </w:r>
          </w:p>
        </w:tc>
        <w:tc>
          <w:tcPr>
            <w:tcW w:w="9035" w:type="dxa"/>
          </w:tcPr>
          <w:p w14:paraId="5600D25C" w14:textId="77777777" w:rsidR="0017219C" w:rsidRDefault="0017219C">
            <w:pPr>
              <w:spacing w:before="120"/>
              <w:jc w:val="center"/>
              <w:rPr>
                <w:b/>
                <w:bCs/>
              </w:rPr>
            </w:pPr>
            <w:r>
              <w:rPr>
                <w:b/>
                <w:bCs/>
              </w:rPr>
              <w:t>Evidence and Rationale that the proposals meet the statutory criteria</w:t>
            </w:r>
          </w:p>
        </w:tc>
      </w:tr>
      <w:tr w:rsidR="0017219C" w:rsidRPr="00E94BE8" w14:paraId="15C7D90B" w14:textId="77777777" w:rsidTr="0017219C">
        <w:tc>
          <w:tcPr>
            <w:tcW w:w="3243" w:type="dxa"/>
          </w:tcPr>
          <w:p w14:paraId="386E2BF6" w14:textId="77777777" w:rsidR="0017219C" w:rsidRPr="000431EC" w:rsidRDefault="0017219C">
            <w:pPr>
              <w:spacing w:before="240"/>
              <w:jc w:val="center"/>
              <w:rPr>
                <w:b/>
                <w:bCs/>
              </w:rPr>
            </w:pPr>
            <w:r w:rsidRPr="000431EC">
              <w:rPr>
                <w:rFonts w:cs="Arial"/>
                <w:b/>
                <w:bCs/>
                <w:color w:val="000000"/>
                <w:szCs w:val="22"/>
                <w:lang w:val="en-US"/>
              </w:rPr>
              <w:t>Ewell Court, Auriol and Cuddington</w:t>
            </w:r>
          </w:p>
        </w:tc>
        <w:tc>
          <w:tcPr>
            <w:tcW w:w="1321" w:type="dxa"/>
            <w:shd w:val="clear" w:color="auto" w:fill="auto"/>
          </w:tcPr>
          <w:p w14:paraId="759941D3" w14:textId="77777777" w:rsidR="0017219C" w:rsidRPr="000431EC" w:rsidRDefault="0017219C">
            <w:pPr>
              <w:spacing w:before="240"/>
              <w:jc w:val="center"/>
            </w:pPr>
            <w:r w:rsidRPr="000431EC">
              <w:t>12,827</w:t>
            </w:r>
          </w:p>
        </w:tc>
        <w:tc>
          <w:tcPr>
            <w:tcW w:w="1280" w:type="dxa"/>
            <w:shd w:val="clear" w:color="auto" w:fill="auto"/>
          </w:tcPr>
          <w:p w14:paraId="137F241B" w14:textId="77777777" w:rsidR="0017219C" w:rsidRPr="000431EC" w:rsidRDefault="0017219C">
            <w:pPr>
              <w:spacing w:before="240"/>
              <w:jc w:val="center"/>
            </w:pPr>
            <w:r w:rsidRPr="000431EC">
              <w:t>8%</w:t>
            </w:r>
          </w:p>
        </w:tc>
        <w:tc>
          <w:tcPr>
            <w:tcW w:w="9035" w:type="dxa"/>
          </w:tcPr>
          <w:p w14:paraId="7624DB39" w14:textId="77777777" w:rsidR="0017219C" w:rsidRDefault="0017219C">
            <w:pPr>
              <w:rPr>
                <w:highlight w:val="yellow"/>
              </w:rPr>
            </w:pPr>
          </w:p>
          <w:p w14:paraId="05753873" w14:textId="237DEC0E" w:rsidR="00C27EE6" w:rsidRPr="00C27EE6" w:rsidRDefault="0017219C" w:rsidP="00C27EE6">
            <w:pPr>
              <w:overflowPunct/>
              <w:textAlignment w:val="auto"/>
              <w:rPr>
                <w:rFonts w:cs="Arial"/>
                <w:color w:val="000000"/>
                <w:szCs w:val="22"/>
                <w:lang w:val="en-US"/>
              </w:rPr>
            </w:pPr>
            <w:r w:rsidRPr="00C27EE6">
              <w:t xml:space="preserve">There are no suggested changes to this </w:t>
            </w:r>
            <w:r w:rsidR="00A06BA2">
              <w:t>d</w:t>
            </w:r>
            <w:r w:rsidRPr="00C27EE6">
              <w:t>ivision.</w:t>
            </w:r>
            <w:r w:rsidR="00C27EE6" w:rsidRPr="00C27EE6">
              <w:rPr>
                <w:rFonts w:cs="Arial"/>
                <w:color w:val="000000"/>
                <w:szCs w:val="22"/>
                <w:lang w:val="en-US"/>
              </w:rPr>
              <w:t xml:space="preserve">  </w:t>
            </w:r>
          </w:p>
          <w:p w14:paraId="4E1F7B11" w14:textId="77777777" w:rsidR="00C27EE6" w:rsidRPr="00C27EE6" w:rsidRDefault="00C27EE6" w:rsidP="00C27EE6">
            <w:pPr>
              <w:overflowPunct/>
              <w:textAlignment w:val="auto"/>
              <w:rPr>
                <w:rFonts w:cs="Arial"/>
                <w:color w:val="000000"/>
                <w:szCs w:val="22"/>
                <w:lang w:val="en-US"/>
              </w:rPr>
            </w:pPr>
          </w:p>
          <w:p w14:paraId="7D0335CB" w14:textId="0F2C13B8" w:rsidR="00C27EE6" w:rsidRPr="00C27EE6" w:rsidRDefault="00C27EE6" w:rsidP="00C27EE6">
            <w:pPr>
              <w:overflowPunct/>
              <w:textAlignment w:val="auto"/>
              <w:rPr>
                <w:rFonts w:cs="Arial"/>
                <w:color w:val="000000"/>
                <w:szCs w:val="22"/>
                <w:lang w:val="en-US"/>
              </w:rPr>
            </w:pPr>
            <w:r w:rsidRPr="00C27EE6">
              <w:rPr>
                <w:rFonts w:cs="Arial"/>
                <w:color w:val="000000"/>
                <w:szCs w:val="22"/>
                <w:lang w:val="en-US"/>
              </w:rPr>
              <w:t xml:space="preserve">Within the </w:t>
            </w:r>
            <w:r w:rsidR="00A06BA2">
              <w:rPr>
                <w:rFonts w:cs="Arial"/>
                <w:color w:val="000000"/>
                <w:szCs w:val="22"/>
                <w:lang w:val="en-US"/>
              </w:rPr>
              <w:t>d</w:t>
            </w:r>
            <w:r w:rsidRPr="00C27EE6">
              <w:rPr>
                <w:rFonts w:cs="Arial"/>
                <w:color w:val="000000"/>
                <w:szCs w:val="22"/>
                <w:lang w:val="en-US"/>
              </w:rPr>
              <w:t>ivision there are three distinct and recognisable communities (Ewell Court, Auriol and Cuddington), each having their own Residents’ Association.</w:t>
            </w:r>
          </w:p>
          <w:p w14:paraId="7E9739FF" w14:textId="77777777" w:rsidR="0017219C" w:rsidRPr="00C27EE6" w:rsidRDefault="0017219C">
            <w:pPr>
              <w:overflowPunct/>
              <w:textAlignment w:val="auto"/>
              <w:rPr>
                <w:rFonts w:cs="Arial"/>
                <w:color w:val="000000"/>
                <w:szCs w:val="22"/>
                <w:lang w:val="en-US"/>
              </w:rPr>
            </w:pPr>
          </w:p>
          <w:p w14:paraId="0A98E819" w14:textId="4F339419" w:rsidR="0017219C" w:rsidRPr="00C27EE6" w:rsidRDefault="0017219C">
            <w:pPr>
              <w:overflowPunct/>
              <w:textAlignment w:val="auto"/>
              <w:rPr>
                <w:rFonts w:cs="Arial"/>
                <w:color w:val="000000"/>
                <w:szCs w:val="22"/>
                <w:lang w:val="en-US"/>
              </w:rPr>
            </w:pPr>
            <w:r w:rsidRPr="00C27EE6">
              <w:rPr>
                <w:rFonts w:cs="Arial"/>
                <w:color w:val="000000"/>
                <w:szCs w:val="22"/>
                <w:lang w:val="en-US"/>
              </w:rPr>
              <w:t xml:space="preserve">Ewell Court, Auriol and Cuddington </w:t>
            </w:r>
            <w:r w:rsidR="00C27EE6" w:rsidRPr="00C27EE6">
              <w:rPr>
                <w:rFonts w:cs="Arial"/>
                <w:color w:val="000000"/>
                <w:szCs w:val="22"/>
                <w:lang w:val="en-US"/>
              </w:rPr>
              <w:t xml:space="preserve">has </w:t>
            </w:r>
            <w:r w:rsidRPr="00C27EE6">
              <w:rPr>
                <w:rFonts w:cs="Arial"/>
                <w:color w:val="000000"/>
                <w:szCs w:val="22"/>
                <w:lang w:val="en-US"/>
              </w:rPr>
              <w:t>clearly defined boundaries.  The north-western boundary borders the Royal Borough of Kingston Upon Thames.  The north-eastern boundary borders the London Borough of Sutton.  The eastern boundary is defined by the Epsom-Waterloo railway line and the railway bridge across the A240.  The western boundary is defined by the Hogsmill River and is a natural boundary</w:t>
            </w:r>
            <w:r w:rsidR="00C27EE6" w:rsidRPr="00C27EE6">
              <w:rPr>
                <w:rFonts w:cs="Arial"/>
                <w:color w:val="000000"/>
                <w:szCs w:val="22"/>
                <w:lang w:val="en-US"/>
              </w:rPr>
              <w:t>.</w:t>
            </w:r>
          </w:p>
          <w:p w14:paraId="3FE9F518" w14:textId="2A37112C" w:rsidR="0017219C" w:rsidRPr="00E94BE8" w:rsidRDefault="0017219C">
            <w:pPr>
              <w:overflowPunct/>
              <w:textAlignment w:val="auto"/>
              <w:rPr>
                <w:rFonts w:cs="Arial"/>
                <w:color w:val="000000"/>
                <w:szCs w:val="22"/>
                <w:highlight w:val="yellow"/>
                <w:lang w:val="en-US"/>
              </w:rPr>
            </w:pPr>
          </w:p>
          <w:p w14:paraId="0D6C7B6E" w14:textId="77777777" w:rsidR="0017219C" w:rsidRPr="00E94BE8" w:rsidRDefault="0017219C" w:rsidP="00287F1F">
            <w:pPr>
              <w:rPr>
                <w:rFonts w:cs="Arial"/>
                <w:highlight w:val="yellow"/>
              </w:rPr>
            </w:pPr>
          </w:p>
        </w:tc>
      </w:tr>
      <w:tr w:rsidR="0017219C" w:rsidRPr="00E94BE8" w14:paraId="0B2FF025" w14:textId="77777777" w:rsidTr="0017219C">
        <w:tc>
          <w:tcPr>
            <w:tcW w:w="3243" w:type="dxa"/>
            <w:shd w:val="clear" w:color="auto" w:fill="auto"/>
          </w:tcPr>
          <w:p w14:paraId="2EDE49AC" w14:textId="25044D7F" w:rsidR="0017219C" w:rsidRPr="000431EC" w:rsidRDefault="00A06BA2" w:rsidP="005711C3">
            <w:pPr>
              <w:spacing w:before="240"/>
              <w:jc w:val="center"/>
              <w:rPr>
                <w:b/>
                <w:bCs/>
              </w:rPr>
            </w:pPr>
            <w:r w:rsidRPr="000431EC">
              <w:rPr>
                <w:b/>
                <w:bCs/>
              </w:rPr>
              <w:t>Stoneleigh</w:t>
            </w:r>
            <w:r w:rsidR="0017219C" w:rsidRPr="000431EC">
              <w:rPr>
                <w:b/>
                <w:bCs/>
              </w:rPr>
              <w:t>, Ewell Village and Nonsuch</w:t>
            </w:r>
          </w:p>
          <w:p w14:paraId="20BD1AB0" w14:textId="32C3FF8A" w:rsidR="0017219C" w:rsidRPr="00A06BA2" w:rsidRDefault="00351634" w:rsidP="005711C3">
            <w:pPr>
              <w:spacing w:before="240"/>
              <w:jc w:val="center"/>
              <w:rPr>
                <w:b/>
                <w:i/>
              </w:rPr>
            </w:pPr>
            <w:r>
              <w:rPr>
                <w:b/>
                <w:bCs/>
                <w:i/>
                <w:iCs/>
              </w:rPr>
              <w:t>Currently</w:t>
            </w:r>
            <w:r w:rsidR="0017219C" w:rsidRPr="00A06BA2">
              <w:rPr>
                <w:b/>
                <w:i/>
              </w:rPr>
              <w:t xml:space="preserve"> known as Ewell</w:t>
            </w:r>
          </w:p>
        </w:tc>
        <w:tc>
          <w:tcPr>
            <w:tcW w:w="1321" w:type="dxa"/>
          </w:tcPr>
          <w:p w14:paraId="11B58531" w14:textId="77777777" w:rsidR="0017219C" w:rsidRPr="000431EC" w:rsidRDefault="0017219C">
            <w:pPr>
              <w:spacing w:before="240"/>
              <w:jc w:val="center"/>
            </w:pPr>
            <w:r w:rsidRPr="000431EC">
              <w:t>13,037</w:t>
            </w:r>
          </w:p>
        </w:tc>
        <w:tc>
          <w:tcPr>
            <w:tcW w:w="1280" w:type="dxa"/>
          </w:tcPr>
          <w:p w14:paraId="7BC36590" w14:textId="77777777" w:rsidR="0017219C" w:rsidRPr="000431EC" w:rsidRDefault="0017219C">
            <w:pPr>
              <w:spacing w:before="240"/>
              <w:jc w:val="center"/>
            </w:pPr>
            <w:r w:rsidRPr="000431EC">
              <w:t>9%</w:t>
            </w:r>
          </w:p>
        </w:tc>
        <w:tc>
          <w:tcPr>
            <w:tcW w:w="9035" w:type="dxa"/>
          </w:tcPr>
          <w:p w14:paraId="636CB636" w14:textId="77777777" w:rsidR="0017219C" w:rsidRPr="00C602D6" w:rsidRDefault="0017219C"/>
          <w:p w14:paraId="1798CF41" w14:textId="12BDC01A" w:rsidR="00C27EE6" w:rsidRDefault="0017219C">
            <w:pPr>
              <w:overflowPunct/>
              <w:textAlignment w:val="auto"/>
              <w:rPr>
                <w:rFonts w:cs="Arial"/>
                <w:color w:val="000000"/>
                <w:lang w:val="en-US"/>
              </w:rPr>
            </w:pPr>
            <w:r w:rsidRPr="00C602D6">
              <w:rPr>
                <w:rFonts w:cs="Arial"/>
                <w:color w:val="000000"/>
                <w:lang w:val="en-US"/>
              </w:rPr>
              <w:t xml:space="preserve">There are no suggested boundary changes to this </w:t>
            </w:r>
            <w:r w:rsidR="00A06BA2">
              <w:rPr>
                <w:rFonts w:cs="Arial"/>
                <w:color w:val="000000"/>
                <w:lang w:val="en-US"/>
              </w:rPr>
              <w:t>d</w:t>
            </w:r>
            <w:r w:rsidRPr="00C602D6">
              <w:rPr>
                <w:rFonts w:cs="Arial"/>
                <w:color w:val="000000"/>
                <w:lang w:val="en-US"/>
              </w:rPr>
              <w:t xml:space="preserve">ivision. </w:t>
            </w:r>
          </w:p>
          <w:p w14:paraId="0F29DF46" w14:textId="77777777" w:rsidR="00C27EE6" w:rsidRDefault="00C27EE6">
            <w:pPr>
              <w:overflowPunct/>
              <w:textAlignment w:val="auto"/>
              <w:rPr>
                <w:rFonts w:cs="Arial"/>
                <w:color w:val="000000"/>
                <w:lang w:val="en-US"/>
              </w:rPr>
            </w:pPr>
          </w:p>
          <w:p w14:paraId="5C9719DF" w14:textId="7C73760C" w:rsidR="0017219C" w:rsidRPr="00C602D6" w:rsidRDefault="0017219C">
            <w:pPr>
              <w:overflowPunct/>
              <w:textAlignment w:val="auto"/>
              <w:rPr>
                <w:rFonts w:cs="Arial"/>
                <w:color w:val="000000"/>
                <w:lang w:val="en-US"/>
              </w:rPr>
            </w:pPr>
            <w:r w:rsidRPr="00C602D6">
              <w:rPr>
                <w:rFonts w:cs="Arial"/>
                <w:color w:val="000000"/>
                <w:lang w:val="en-US"/>
              </w:rPr>
              <w:t xml:space="preserve">It is suggested that the name of the </w:t>
            </w:r>
            <w:r w:rsidR="00E033CD">
              <w:rPr>
                <w:rFonts w:cs="Arial"/>
                <w:color w:val="000000"/>
                <w:lang w:val="en-US"/>
              </w:rPr>
              <w:t>d</w:t>
            </w:r>
            <w:r w:rsidRPr="00C602D6">
              <w:rPr>
                <w:rFonts w:cs="Arial"/>
                <w:color w:val="000000"/>
                <w:lang w:val="en-US"/>
              </w:rPr>
              <w:t>ivision is changed to more accurately describe the distinct communities it represents.</w:t>
            </w:r>
          </w:p>
          <w:p w14:paraId="2BC85B33" w14:textId="77777777" w:rsidR="0017219C" w:rsidRPr="00C602D6" w:rsidRDefault="0017219C">
            <w:pPr>
              <w:overflowPunct/>
              <w:textAlignment w:val="auto"/>
              <w:rPr>
                <w:rFonts w:cs="Arial"/>
                <w:color w:val="000000"/>
                <w:lang w:val="en-US"/>
              </w:rPr>
            </w:pPr>
          </w:p>
          <w:p w14:paraId="405F8F8A" w14:textId="34A85A2D" w:rsidR="0017219C" w:rsidRPr="00E94BE8" w:rsidRDefault="0017219C">
            <w:pPr>
              <w:overflowPunct/>
              <w:textAlignment w:val="auto"/>
              <w:rPr>
                <w:rFonts w:cs="Arial"/>
                <w:color w:val="000000"/>
                <w:highlight w:val="yellow"/>
                <w:lang w:val="en-US"/>
              </w:rPr>
            </w:pPr>
            <w:r w:rsidRPr="00C602D6">
              <w:rPr>
                <w:rFonts w:cs="Arial"/>
                <w:color w:val="000000"/>
                <w:lang w:val="en-US"/>
              </w:rPr>
              <w:t xml:space="preserve">The proposed </w:t>
            </w:r>
            <w:r w:rsidR="00F43E3A">
              <w:rPr>
                <w:rFonts w:cs="Arial"/>
                <w:color w:val="000000"/>
                <w:lang w:val="en-US"/>
              </w:rPr>
              <w:t>d</w:t>
            </w:r>
            <w:r w:rsidRPr="00C602D6">
              <w:rPr>
                <w:rFonts w:cs="Arial"/>
                <w:color w:val="000000"/>
                <w:lang w:val="en-US"/>
              </w:rPr>
              <w:t xml:space="preserve">ivision of Ewell borders the Borough of Sutton in the east and Reigate in the south, with the northern boundary for this </w:t>
            </w:r>
            <w:r w:rsidR="00F43E3A">
              <w:rPr>
                <w:rFonts w:cs="Arial"/>
                <w:color w:val="000000"/>
                <w:lang w:val="en-US"/>
              </w:rPr>
              <w:t>d</w:t>
            </w:r>
            <w:r w:rsidRPr="00C602D6">
              <w:rPr>
                <w:rFonts w:cs="Arial"/>
                <w:color w:val="000000"/>
                <w:lang w:val="en-US"/>
              </w:rPr>
              <w:t xml:space="preserve">ivision being the Epsom to Waterloo railway line and the western boundary the border between Ewell </w:t>
            </w:r>
            <w:r w:rsidRPr="003119A2">
              <w:rPr>
                <w:rFonts w:cs="Arial"/>
                <w:color w:val="000000"/>
                <w:lang w:val="en-US"/>
              </w:rPr>
              <w:t>and Epsom.</w:t>
            </w:r>
          </w:p>
          <w:p w14:paraId="2D127D12" w14:textId="77777777" w:rsidR="0017219C" w:rsidRPr="00E94BE8" w:rsidRDefault="0017219C">
            <w:pPr>
              <w:overflowPunct/>
              <w:textAlignment w:val="auto"/>
              <w:rPr>
                <w:rFonts w:cs="Arial"/>
                <w:color w:val="000000"/>
                <w:highlight w:val="yellow"/>
                <w:lang w:val="en-US"/>
              </w:rPr>
            </w:pPr>
            <w:r w:rsidRPr="00E94BE8">
              <w:rPr>
                <w:rFonts w:cs="Arial"/>
                <w:color w:val="000000"/>
                <w:highlight w:val="yellow"/>
                <w:lang w:val="en-US"/>
              </w:rPr>
              <w:t xml:space="preserve"> </w:t>
            </w:r>
          </w:p>
          <w:p w14:paraId="0A9B8452" w14:textId="6E51EDFD" w:rsidR="0017219C" w:rsidRPr="00E94BE8" w:rsidRDefault="0017219C" w:rsidP="00C27EE6">
            <w:pPr>
              <w:overflowPunct/>
              <w:textAlignment w:val="auto"/>
              <w:rPr>
                <w:highlight w:val="yellow"/>
              </w:rPr>
            </w:pPr>
          </w:p>
        </w:tc>
      </w:tr>
      <w:tr w:rsidR="0017219C" w:rsidRPr="00E94BE8" w14:paraId="50F92FB4" w14:textId="77777777" w:rsidTr="0017219C">
        <w:trPr>
          <w:trHeight w:val="58"/>
        </w:trPr>
        <w:tc>
          <w:tcPr>
            <w:tcW w:w="3243" w:type="dxa"/>
          </w:tcPr>
          <w:p w14:paraId="491C7151" w14:textId="77777777" w:rsidR="0017219C" w:rsidRPr="000431EC" w:rsidRDefault="0017219C">
            <w:pPr>
              <w:pStyle w:val="Heading4"/>
              <w:numPr>
                <w:ilvl w:val="0"/>
                <w:numId w:val="0"/>
              </w:numPr>
              <w:spacing w:before="240"/>
              <w:jc w:val="center"/>
              <w:rPr>
                <w:b/>
                <w:bCs/>
                <w:i w:val="0"/>
                <w:iCs w:val="0"/>
              </w:rPr>
            </w:pPr>
            <w:r w:rsidRPr="000431EC">
              <w:rPr>
                <w:b/>
                <w:bCs/>
                <w:i w:val="0"/>
                <w:iCs w:val="0"/>
              </w:rPr>
              <w:br w:type="page"/>
              <w:t>Epsom Town &amp; Downs</w:t>
            </w:r>
          </w:p>
        </w:tc>
        <w:tc>
          <w:tcPr>
            <w:tcW w:w="1321" w:type="dxa"/>
          </w:tcPr>
          <w:p w14:paraId="6333FAE7" w14:textId="77777777" w:rsidR="0017219C" w:rsidRPr="000431EC" w:rsidRDefault="0017219C">
            <w:pPr>
              <w:spacing w:before="240"/>
              <w:jc w:val="center"/>
            </w:pPr>
            <w:r w:rsidRPr="000431EC">
              <w:t>12,810</w:t>
            </w:r>
          </w:p>
        </w:tc>
        <w:tc>
          <w:tcPr>
            <w:tcW w:w="1280" w:type="dxa"/>
          </w:tcPr>
          <w:p w14:paraId="5C2D5EE3" w14:textId="77777777" w:rsidR="0017219C" w:rsidRPr="000431EC" w:rsidRDefault="0017219C">
            <w:pPr>
              <w:spacing w:before="240"/>
              <w:jc w:val="center"/>
            </w:pPr>
            <w:r w:rsidRPr="000431EC">
              <w:t>8%</w:t>
            </w:r>
          </w:p>
        </w:tc>
        <w:tc>
          <w:tcPr>
            <w:tcW w:w="9035" w:type="dxa"/>
          </w:tcPr>
          <w:p w14:paraId="7026555C" w14:textId="77777777" w:rsidR="0017219C" w:rsidRPr="00E94BE8" w:rsidRDefault="0017219C">
            <w:pPr>
              <w:rPr>
                <w:highlight w:val="yellow"/>
              </w:rPr>
            </w:pPr>
          </w:p>
          <w:p w14:paraId="09A59593" w14:textId="0A4A4523" w:rsidR="0017219C" w:rsidRPr="00C602D6" w:rsidRDefault="0017219C">
            <w:pPr>
              <w:overflowPunct/>
              <w:textAlignment w:val="auto"/>
              <w:rPr>
                <w:rFonts w:cs="Arial"/>
                <w:color w:val="000000"/>
                <w:szCs w:val="22"/>
                <w:lang w:val="en-US"/>
              </w:rPr>
            </w:pPr>
            <w:r w:rsidRPr="00C602D6">
              <w:rPr>
                <w:rFonts w:cs="Arial"/>
                <w:color w:val="000000"/>
                <w:szCs w:val="22"/>
                <w:lang w:val="en-US"/>
              </w:rPr>
              <w:t xml:space="preserve">There are no suggested changes to this </w:t>
            </w:r>
            <w:r w:rsidR="00E65C34">
              <w:rPr>
                <w:rFonts w:cs="Arial"/>
                <w:color w:val="000000"/>
                <w:szCs w:val="22"/>
                <w:lang w:val="en-US"/>
              </w:rPr>
              <w:t>d</w:t>
            </w:r>
            <w:r w:rsidRPr="00C602D6">
              <w:rPr>
                <w:rFonts w:cs="Arial"/>
                <w:color w:val="000000"/>
                <w:szCs w:val="22"/>
                <w:lang w:val="en-US"/>
              </w:rPr>
              <w:t>ivision.</w:t>
            </w:r>
          </w:p>
          <w:p w14:paraId="3067D24A" w14:textId="77777777" w:rsidR="0017219C" w:rsidRDefault="0017219C">
            <w:pPr>
              <w:overflowPunct/>
              <w:textAlignment w:val="auto"/>
              <w:rPr>
                <w:rFonts w:cs="Arial"/>
                <w:color w:val="000000"/>
                <w:szCs w:val="22"/>
                <w:highlight w:val="yellow"/>
                <w:lang w:val="en-US"/>
              </w:rPr>
            </w:pPr>
          </w:p>
          <w:p w14:paraId="19FB28F7" w14:textId="5C7F9297" w:rsidR="0017219C" w:rsidRPr="00C602D6" w:rsidRDefault="0017219C">
            <w:pPr>
              <w:overflowPunct/>
              <w:textAlignment w:val="auto"/>
              <w:rPr>
                <w:rFonts w:cs="Arial"/>
                <w:color w:val="000000"/>
                <w:szCs w:val="22"/>
                <w:lang w:val="en-US"/>
              </w:rPr>
            </w:pPr>
            <w:r w:rsidRPr="00C602D6">
              <w:rPr>
                <w:rFonts w:cs="Arial"/>
                <w:color w:val="000000"/>
                <w:szCs w:val="22"/>
                <w:lang w:val="en-US"/>
              </w:rPr>
              <w:t xml:space="preserve">The </w:t>
            </w:r>
            <w:r w:rsidR="008B2884">
              <w:rPr>
                <w:rFonts w:cs="Arial"/>
                <w:color w:val="000000"/>
                <w:szCs w:val="22"/>
                <w:lang w:val="en-US"/>
              </w:rPr>
              <w:t>d</w:t>
            </w:r>
            <w:r w:rsidRPr="00C602D6">
              <w:rPr>
                <w:rFonts w:cs="Arial"/>
                <w:color w:val="000000"/>
                <w:szCs w:val="22"/>
                <w:lang w:val="en-US"/>
              </w:rPr>
              <w:t xml:space="preserve">ivision of Epsom Town and Downs borders Reigate and Banstead in the east and Mole Valley in the south. </w:t>
            </w:r>
          </w:p>
          <w:p w14:paraId="535F5B87" w14:textId="77777777" w:rsidR="0017219C" w:rsidRPr="00C602D6" w:rsidRDefault="0017219C">
            <w:pPr>
              <w:overflowPunct/>
              <w:textAlignment w:val="auto"/>
              <w:rPr>
                <w:rFonts w:cs="Arial"/>
                <w:color w:val="000000"/>
                <w:szCs w:val="22"/>
                <w:lang w:val="en-US"/>
              </w:rPr>
            </w:pPr>
          </w:p>
          <w:p w14:paraId="0C47350B" w14:textId="77777777" w:rsidR="0017219C" w:rsidRDefault="0017219C">
            <w:pPr>
              <w:overflowPunct/>
              <w:textAlignment w:val="auto"/>
              <w:rPr>
                <w:rFonts w:cs="Arial"/>
                <w:b/>
                <w:bCs/>
                <w:color w:val="000000"/>
                <w:szCs w:val="22"/>
                <w:lang w:val="en-US"/>
              </w:rPr>
            </w:pPr>
            <w:r w:rsidRPr="00C602D6">
              <w:rPr>
                <w:rFonts w:cs="Arial"/>
                <w:color w:val="000000"/>
                <w:szCs w:val="22"/>
                <w:lang w:val="en-US"/>
              </w:rPr>
              <w:t>The northern boundary goes around the outskirts of Epsom Common and along Dorking Road and the railway line which runs parallel to Epsom High Street and through East Ewell</w:t>
            </w:r>
            <w:r w:rsidRPr="00C602D6">
              <w:rPr>
                <w:rFonts w:cs="Arial"/>
                <w:b/>
                <w:bCs/>
                <w:color w:val="000000"/>
                <w:szCs w:val="22"/>
                <w:lang w:val="en-US"/>
              </w:rPr>
              <w:t xml:space="preserve">.  </w:t>
            </w:r>
          </w:p>
          <w:p w14:paraId="22CAA929" w14:textId="77777777" w:rsidR="0017219C" w:rsidRDefault="0017219C">
            <w:pPr>
              <w:overflowPunct/>
              <w:textAlignment w:val="auto"/>
              <w:rPr>
                <w:rFonts w:cs="Arial"/>
                <w:b/>
                <w:bCs/>
                <w:color w:val="000000"/>
                <w:szCs w:val="22"/>
                <w:lang w:val="en-US"/>
              </w:rPr>
            </w:pPr>
          </w:p>
          <w:p w14:paraId="53C84C48" w14:textId="77777777" w:rsidR="0017219C" w:rsidRPr="00996F45" w:rsidRDefault="0017219C">
            <w:pPr>
              <w:overflowPunct/>
              <w:textAlignment w:val="auto"/>
              <w:rPr>
                <w:rFonts w:cs="Arial"/>
                <w:color w:val="000000"/>
                <w:szCs w:val="22"/>
                <w:lang w:val="en-US"/>
              </w:rPr>
            </w:pPr>
            <w:r w:rsidRPr="00996F45">
              <w:rPr>
                <w:rFonts w:cs="Arial"/>
                <w:color w:val="000000"/>
                <w:szCs w:val="22"/>
                <w:lang w:val="en-US"/>
              </w:rPr>
              <w:t xml:space="preserve">Whilst there are some areas of crossover with Epsom West, the residential nature of this division </w:t>
            </w:r>
            <w:r>
              <w:rPr>
                <w:rFonts w:cs="Arial"/>
                <w:color w:val="000000"/>
                <w:szCs w:val="22"/>
                <w:lang w:val="en-US"/>
              </w:rPr>
              <w:t>means and convergence of services around College ward, means that there are clear community links.</w:t>
            </w:r>
          </w:p>
          <w:p w14:paraId="46233D73" w14:textId="77777777" w:rsidR="0017219C" w:rsidRPr="00E94BE8" w:rsidRDefault="0017219C">
            <w:pPr>
              <w:pStyle w:val="BodyText3"/>
              <w:rPr>
                <w:i/>
                <w:iCs/>
                <w:highlight w:val="yellow"/>
              </w:rPr>
            </w:pPr>
          </w:p>
        </w:tc>
      </w:tr>
      <w:tr w:rsidR="0017219C" w:rsidRPr="00E94BE8" w14:paraId="483124F4" w14:textId="77777777" w:rsidTr="0017219C">
        <w:tc>
          <w:tcPr>
            <w:tcW w:w="3243" w:type="dxa"/>
          </w:tcPr>
          <w:p w14:paraId="02A7FECF" w14:textId="77777777" w:rsidR="0017219C" w:rsidRPr="000431EC" w:rsidRDefault="0017219C">
            <w:pPr>
              <w:pStyle w:val="Heading4"/>
              <w:numPr>
                <w:ilvl w:val="0"/>
                <w:numId w:val="0"/>
              </w:numPr>
              <w:spacing w:before="240"/>
              <w:jc w:val="center"/>
              <w:rPr>
                <w:b/>
                <w:bCs/>
                <w:i w:val="0"/>
                <w:iCs w:val="0"/>
              </w:rPr>
            </w:pPr>
            <w:r w:rsidRPr="000431EC">
              <w:rPr>
                <w:b/>
                <w:bCs/>
                <w:i w:val="0"/>
                <w:iCs w:val="0"/>
              </w:rPr>
              <w:t>Epsom West</w:t>
            </w:r>
          </w:p>
        </w:tc>
        <w:tc>
          <w:tcPr>
            <w:tcW w:w="1321" w:type="dxa"/>
          </w:tcPr>
          <w:p w14:paraId="01E70CB1" w14:textId="38DD77BE" w:rsidR="0017219C" w:rsidRPr="00577B22" w:rsidRDefault="00910A9B">
            <w:pPr>
              <w:spacing w:before="240"/>
              <w:jc w:val="center"/>
            </w:pPr>
            <w:r w:rsidRPr="00577B22">
              <w:t>12,148</w:t>
            </w:r>
          </w:p>
        </w:tc>
        <w:tc>
          <w:tcPr>
            <w:tcW w:w="1280" w:type="dxa"/>
          </w:tcPr>
          <w:p w14:paraId="17DE8C57" w14:textId="234773A4" w:rsidR="0017219C" w:rsidRPr="00577B22" w:rsidRDefault="0017219C">
            <w:pPr>
              <w:spacing w:before="240"/>
              <w:jc w:val="center"/>
            </w:pPr>
            <w:r w:rsidRPr="00577B22">
              <w:t>2%</w:t>
            </w:r>
          </w:p>
        </w:tc>
        <w:tc>
          <w:tcPr>
            <w:tcW w:w="9035" w:type="dxa"/>
          </w:tcPr>
          <w:p w14:paraId="476F3D35" w14:textId="77777777" w:rsidR="002119CE" w:rsidRDefault="002119CE" w:rsidP="002119CE">
            <w:pPr>
              <w:pStyle w:val="BodyText2"/>
              <w:rPr>
                <w:highlight w:val="yellow"/>
              </w:rPr>
            </w:pPr>
          </w:p>
          <w:p w14:paraId="589B7A61" w14:textId="3181BD7A" w:rsidR="001B5E66" w:rsidRDefault="001B5E66" w:rsidP="001B5E66">
            <w:pPr>
              <w:pStyle w:val="BodyText2"/>
            </w:pPr>
            <w:r>
              <w:t>Within Epsom, the clearest boundary between the Eastern and Western parts of the town is the railway line. The south-west boundary of the Division is the boundary with Mole Valley. The western boundary is the County Border with the Royal Borough of Kingston-upon-Thames (RBK).</w:t>
            </w:r>
          </w:p>
          <w:p w14:paraId="5AD6C7A8" w14:textId="77777777" w:rsidR="00AA7A1B" w:rsidRDefault="00AA7A1B" w:rsidP="001B5E66">
            <w:pPr>
              <w:pStyle w:val="BodyText2"/>
            </w:pPr>
          </w:p>
          <w:p w14:paraId="7B0AB730" w14:textId="2B6F54D4" w:rsidR="00AA7A1B" w:rsidRDefault="00AA7A1B" w:rsidP="001B5E66">
            <w:pPr>
              <w:pStyle w:val="BodyText2"/>
            </w:pPr>
            <w:r>
              <w:t xml:space="preserve">There is a proposed change to this </w:t>
            </w:r>
            <w:r w:rsidR="00392CAE">
              <w:t>d</w:t>
            </w:r>
            <w:r>
              <w:t>ivisio</w:t>
            </w:r>
            <w:r w:rsidR="005670A5">
              <w:t xml:space="preserve">n, </w:t>
            </w:r>
            <w:r w:rsidR="00662276">
              <w:t xml:space="preserve">with </w:t>
            </w:r>
            <w:r w:rsidR="00392CAE">
              <w:t>part of p</w:t>
            </w:r>
            <w:r w:rsidR="0077055B">
              <w:t xml:space="preserve">olling </w:t>
            </w:r>
            <w:r w:rsidR="00392CAE">
              <w:t>d</w:t>
            </w:r>
            <w:r w:rsidR="0077055B">
              <w:t xml:space="preserve">istrict D </w:t>
            </w:r>
            <w:r w:rsidR="00392CAE">
              <w:t>(</w:t>
            </w:r>
            <w:r w:rsidR="0077055B">
              <w:t xml:space="preserve">which falls within the Horton Ward </w:t>
            </w:r>
            <w:r w:rsidR="005670A5">
              <w:t>and includes the Clarendon Park estate</w:t>
            </w:r>
            <w:r w:rsidR="00392CAE">
              <w:t>)</w:t>
            </w:r>
            <w:r w:rsidR="005670A5">
              <w:t xml:space="preserve"> suggested to move from West Ewell to Epsom West. Not only does improve electoral equality between the two </w:t>
            </w:r>
            <w:r w:rsidR="00392CAE">
              <w:t>d</w:t>
            </w:r>
            <w:r w:rsidR="005670A5">
              <w:t xml:space="preserve">ivisions, it also improves co-terminosity with </w:t>
            </w:r>
            <w:r w:rsidR="00D10DF6">
              <w:t>b</w:t>
            </w:r>
            <w:r w:rsidR="005670A5">
              <w:t xml:space="preserve">orough </w:t>
            </w:r>
            <w:r w:rsidR="00D10DF6">
              <w:t>w</w:t>
            </w:r>
            <w:r w:rsidR="00265B01">
              <w:t>ards and means that residents in the Clarendon Park</w:t>
            </w:r>
            <w:r w:rsidR="00A21591">
              <w:t xml:space="preserve"> estate</w:t>
            </w:r>
            <w:r w:rsidR="00265B01">
              <w:t xml:space="preserve"> will be using a </w:t>
            </w:r>
            <w:r w:rsidR="00D10DF6">
              <w:t>p</w:t>
            </w:r>
            <w:r w:rsidR="00265B01">
              <w:t xml:space="preserve">olling </w:t>
            </w:r>
            <w:r w:rsidR="00D10DF6">
              <w:t>s</w:t>
            </w:r>
            <w:r w:rsidR="00265B01">
              <w:t xml:space="preserve">tation closer to where they live. </w:t>
            </w:r>
          </w:p>
          <w:p w14:paraId="3D1ACCD7" w14:textId="04B3A6D0" w:rsidR="002119CE" w:rsidRPr="00E94BE8" w:rsidRDefault="002119CE" w:rsidP="002119CE">
            <w:pPr>
              <w:pStyle w:val="BodyText2"/>
              <w:rPr>
                <w:highlight w:val="yellow"/>
              </w:rPr>
            </w:pPr>
          </w:p>
        </w:tc>
      </w:tr>
      <w:tr w:rsidR="0017219C" w14:paraId="0D0D003B" w14:textId="77777777" w:rsidTr="0017219C">
        <w:tc>
          <w:tcPr>
            <w:tcW w:w="3243" w:type="dxa"/>
          </w:tcPr>
          <w:p w14:paraId="20637E1B" w14:textId="77777777" w:rsidR="0017219C" w:rsidRPr="000431EC" w:rsidRDefault="0017219C">
            <w:pPr>
              <w:pStyle w:val="Heading4"/>
              <w:numPr>
                <w:ilvl w:val="0"/>
                <w:numId w:val="0"/>
              </w:numPr>
              <w:spacing w:before="240"/>
              <w:jc w:val="center"/>
              <w:rPr>
                <w:b/>
                <w:bCs/>
                <w:i w:val="0"/>
                <w:iCs w:val="0"/>
              </w:rPr>
            </w:pPr>
            <w:r w:rsidRPr="000431EC">
              <w:rPr>
                <w:b/>
                <w:bCs/>
                <w:i w:val="0"/>
                <w:iCs w:val="0"/>
              </w:rPr>
              <w:t xml:space="preserve"> West Ewell</w:t>
            </w:r>
          </w:p>
        </w:tc>
        <w:tc>
          <w:tcPr>
            <w:tcW w:w="1321" w:type="dxa"/>
          </w:tcPr>
          <w:p w14:paraId="23E9A701" w14:textId="5AAAA9AA" w:rsidR="0017219C" w:rsidRPr="00577B22" w:rsidRDefault="00A400E1">
            <w:pPr>
              <w:spacing w:before="240"/>
              <w:jc w:val="center"/>
            </w:pPr>
            <w:r w:rsidRPr="00577B22">
              <w:t>12,487</w:t>
            </w:r>
          </w:p>
        </w:tc>
        <w:tc>
          <w:tcPr>
            <w:tcW w:w="1280" w:type="dxa"/>
          </w:tcPr>
          <w:p w14:paraId="55B898FE" w14:textId="0083356B" w:rsidR="0017219C" w:rsidRPr="00577B22" w:rsidRDefault="006657E1">
            <w:pPr>
              <w:spacing w:before="240"/>
              <w:jc w:val="center"/>
            </w:pPr>
            <w:r w:rsidRPr="00577B22">
              <w:t>5</w:t>
            </w:r>
            <w:r w:rsidR="0017219C" w:rsidRPr="00577B22">
              <w:t>%</w:t>
            </w:r>
          </w:p>
        </w:tc>
        <w:tc>
          <w:tcPr>
            <w:tcW w:w="9035" w:type="dxa"/>
          </w:tcPr>
          <w:p w14:paraId="535E6DC9" w14:textId="77777777" w:rsidR="00775A17" w:rsidRDefault="00775A17" w:rsidP="00775A17">
            <w:pPr>
              <w:rPr>
                <w:rFonts w:cs="Arial"/>
              </w:rPr>
            </w:pPr>
          </w:p>
          <w:p w14:paraId="326829AB" w14:textId="5B16757E" w:rsidR="00775A17" w:rsidRDefault="00775A17" w:rsidP="00775A17">
            <w:pPr>
              <w:rPr>
                <w:rFonts w:cs="Arial"/>
              </w:rPr>
            </w:pPr>
            <w:r>
              <w:rPr>
                <w:rFonts w:cs="Arial"/>
              </w:rPr>
              <w:t xml:space="preserve">The northern boundary of this </w:t>
            </w:r>
            <w:r w:rsidR="00392CAE">
              <w:rPr>
                <w:rFonts w:cs="Arial"/>
              </w:rPr>
              <w:t>d</w:t>
            </w:r>
            <w:r>
              <w:rPr>
                <w:rFonts w:cs="Arial"/>
              </w:rPr>
              <w:t xml:space="preserve">ivision is the Hogsmill River, the western boundary is the County Border with the Royal Borough of Kingston-upon-Thames and the east of West Ewell &amp; Epsom is defined by the Epsom-Wimbledon railway line.  </w:t>
            </w:r>
          </w:p>
          <w:p w14:paraId="5ADA23B6" w14:textId="77777777" w:rsidR="00775A17" w:rsidRDefault="00775A17" w:rsidP="00775A17">
            <w:pPr>
              <w:rPr>
                <w:rFonts w:cs="Arial"/>
              </w:rPr>
            </w:pPr>
          </w:p>
          <w:p w14:paraId="6D3BB280" w14:textId="22798F2B" w:rsidR="00775A17" w:rsidRDefault="00775A17" w:rsidP="00775A17">
            <w:pPr>
              <w:rPr>
                <w:rFonts w:cs="Arial"/>
              </w:rPr>
            </w:pPr>
            <w:r>
              <w:rPr>
                <w:rFonts w:cs="Arial"/>
              </w:rPr>
              <w:t>As described above</w:t>
            </w:r>
            <w:r w:rsidR="007F0406">
              <w:rPr>
                <w:rFonts w:cs="Arial"/>
              </w:rPr>
              <w:t>, there is a suggested amendment to the south-west</w:t>
            </w:r>
            <w:r w:rsidR="000C781F">
              <w:rPr>
                <w:rFonts w:cs="Arial"/>
              </w:rPr>
              <w:t xml:space="preserve"> border of this </w:t>
            </w:r>
            <w:r w:rsidR="00A21591">
              <w:rPr>
                <w:rFonts w:cs="Arial"/>
              </w:rPr>
              <w:t>d</w:t>
            </w:r>
            <w:r w:rsidR="000C781F">
              <w:rPr>
                <w:rFonts w:cs="Arial"/>
              </w:rPr>
              <w:t>ivision, with the part of Polling District D which falls within the Horton Ward</w:t>
            </w:r>
            <w:r w:rsidR="00577B22">
              <w:rPr>
                <w:rFonts w:cs="Arial"/>
              </w:rPr>
              <w:t xml:space="preserve">, suggested to move from West Ewell </w:t>
            </w:r>
            <w:r w:rsidR="00A21591">
              <w:rPr>
                <w:rFonts w:cs="Arial"/>
              </w:rPr>
              <w:t xml:space="preserve">to </w:t>
            </w:r>
            <w:r w:rsidR="00577B22">
              <w:rPr>
                <w:rFonts w:cs="Arial"/>
              </w:rPr>
              <w:t>Epsom West. This reasons for this move are listed above.</w:t>
            </w:r>
          </w:p>
          <w:p w14:paraId="0D2DD946" w14:textId="77777777" w:rsidR="0017219C" w:rsidRPr="003D455B" w:rsidRDefault="0017219C"/>
          <w:p w14:paraId="23479ADE" w14:textId="77777777" w:rsidR="003D455B" w:rsidRPr="003D455B" w:rsidRDefault="003D455B" w:rsidP="003D455B"/>
        </w:tc>
      </w:tr>
    </w:tbl>
    <w:p w14:paraId="716A80C0" w14:textId="77777777" w:rsidR="008256AD" w:rsidRDefault="008256AD">
      <w:pPr>
        <w:pStyle w:val="Heading1"/>
        <w:numPr>
          <w:ilvl w:val="0"/>
          <w:numId w:val="0"/>
        </w:numPr>
      </w:pPr>
      <w:r>
        <w:br w:type="page"/>
        <w:t>GUILDFORD</w:t>
      </w:r>
    </w:p>
    <w:p w14:paraId="1DDA2DFA" w14:textId="77777777" w:rsidR="008256AD" w:rsidRDefault="008256AD"/>
    <w:p w14:paraId="17F6F900" w14:textId="0FB24815" w:rsidR="00123FF0" w:rsidRDefault="00123FF0" w:rsidP="00123FF0">
      <w:pPr>
        <w:rPr>
          <w:b/>
          <w:bCs/>
        </w:rPr>
      </w:pPr>
      <w:r>
        <w:t>For Guildford the proposal is for ten divisions representing an electorate of 123,958.</w:t>
      </w:r>
      <w:r w:rsidRPr="00123FF0">
        <w:t xml:space="preserve">   This would equate to an average electorate size for each division of 12,396.  </w:t>
      </w:r>
    </w:p>
    <w:p w14:paraId="5915625F" w14:textId="77777777" w:rsidR="008256AD" w:rsidRDefault="008256AD"/>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233"/>
      </w:tblGrid>
      <w:tr w:rsidR="00945A98" w14:paraId="6D54AA7B" w14:textId="77777777" w:rsidTr="00945A98">
        <w:tc>
          <w:tcPr>
            <w:tcW w:w="3045" w:type="dxa"/>
          </w:tcPr>
          <w:p w14:paraId="246BB107" w14:textId="77777777" w:rsidR="00945A98" w:rsidRDefault="00945A98">
            <w:pPr>
              <w:pStyle w:val="Heading4"/>
              <w:numPr>
                <w:ilvl w:val="0"/>
                <w:numId w:val="0"/>
              </w:numPr>
              <w:spacing w:before="120"/>
              <w:jc w:val="center"/>
              <w:rPr>
                <w:b/>
                <w:bCs/>
                <w:i w:val="0"/>
                <w:iCs w:val="0"/>
              </w:rPr>
            </w:pPr>
            <w:r>
              <w:rPr>
                <w:b/>
                <w:bCs/>
                <w:i w:val="0"/>
                <w:iCs w:val="0"/>
              </w:rPr>
              <w:t>Division Name</w:t>
            </w:r>
          </w:p>
        </w:tc>
        <w:tc>
          <w:tcPr>
            <w:tcW w:w="1321" w:type="dxa"/>
          </w:tcPr>
          <w:p w14:paraId="52731D34" w14:textId="2C69B3E9" w:rsidR="00945A98" w:rsidRDefault="00945A98">
            <w:pPr>
              <w:spacing w:before="120"/>
              <w:jc w:val="center"/>
              <w:rPr>
                <w:b/>
                <w:bCs/>
              </w:rPr>
            </w:pPr>
            <w:r>
              <w:rPr>
                <w:b/>
                <w:bCs/>
              </w:rPr>
              <w:t>202</w:t>
            </w:r>
            <w:r w:rsidR="00AD1150">
              <w:rPr>
                <w:b/>
                <w:bCs/>
              </w:rPr>
              <w:t>9</w:t>
            </w:r>
            <w:r>
              <w:rPr>
                <w:b/>
                <w:bCs/>
              </w:rPr>
              <w:t xml:space="preserve"> Forecast Electorate</w:t>
            </w:r>
          </w:p>
        </w:tc>
        <w:tc>
          <w:tcPr>
            <w:tcW w:w="1280" w:type="dxa"/>
          </w:tcPr>
          <w:p w14:paraId="25342E8E" w14:textId="77777777" w:rsidR="00945A98" w:rsidRDefault="00945A98">
            <w:pPr>
              <w:spacing w:before="120"/>
              <w:jc w:val="center"/>
              <w:rPr>
                <w:b/>
                <w:bCs/>
              </w:rPr>
            </w:pPr>
            <w:r>
              <w:rPr>
                <w:b/>
                <w:bCs/>
              </w:rPr>
              <w:t>2029 Forecast Electorate Variance</w:t>
            </w:r>
          </w:p>
        </w:tc>
        <w:tc>
          <w:tcPr>
            <w:tcW w:w="9233" w:type="dxa"/>
          </w:tcPr>
          <w:p w14:paraId="141B1080" w14:textId="77777777" w:rsidR="00945A98" w:rsidRDefault="00945A98">
            <w:pPr>
              <w:spacing w:before="120"/>
              <w:jc w:val="center"/>
              <w:rPr>
                <w:b/>
                <w:bCs/>
              </w:rPr>
            </w:pPr>
            <w:r>
              <w:rPr>
                <w:b/>
                <w:bCs/>
              </w:rPr>
              <w:t>Evidence and Rationale that the proposals meet the statutory criteria</w:t>
            </w:r>
          </w:p>
        </w:tc>
      </w:tr>
      <w:tr w:rsidR="00573E90" w14:paraId="5FB7EF8F" w14:textId="77777777">
        <w:tc>
          <w:tcPr>
            <w:tcW w:w="3045" w:type="dxa"/>
          </w:tcPr>
          <w:p w14:paraId="641D226C" w14:textId="77777777" w:rsidR="00573E90" w:rsidRPr="00771FC6" w:rsidRDefault="00573E90" w:rsidP="00573E90">
            <w:pPr>
              <w:spacing w:before="240"/>
              <w:jc w:val="center"/>
              <w:rPr>
                <w:b/>
                <w:bCs/>
              </w:rPr>
            </w:pPr>
            <w:r w:rsidRPr="00771FC6">
              <w:rPr>
                <w:b/>
                <w:bCs/>
              </w:rPr>
              <w:t>Ash</w:t>
            </w:r>
          </w:p>
        </w:tc>
        <w:tc>
          <w:tcPr>
            <w:tcW w:w="1321" w:type="dxa"/>
            <w:vAlign w:val="center"/>
          </w:tcPr>
          <w:p w14:paraId="4CBE7F3F" w14:textId="133EA592" w:rsidR="00573E90" w:rsidRPr="00577B22" w:rsidRDefault="00573E90" w:rsidP="00573E90">
            <w:pPr>
              <w:spacing w:before="240"/>
              <w:jc w:val="center"/>
            </w:pPr>
            <w:r w:rsidRPr="00577B22">
              <w:rPr>
                <w:rFonts w:cs="Arial"/>
              </w:rPr>
              <w:t>10,845</w:t>
            </w:r>
          </w:p>
        </w:tc>
        <w:tc>
          <w:tcPr>
            <w:tcW w:w="1280" w:type="dxa"/>
            <w:vAlign w:val="center"/>
          </w:tcPr>
          <w:p w14:paraId="432470F3" w14:textId="4AAC9C96" w:rsidR="00573E90" w:rsidRPr="00577B22" w:rsidRDefault="00AD1150" w:rsidP="00573E90">
            <w:pPr>
              <w:spacing w:before="240"/>
              <w:jc w:val="center"/>
            </w:pPr>
            <w:r w:rsidRPr="00577B22">
              <w:t>10%</w:t>
            </w:r>
          </w:p>
        </w:tc>
        <w:tc>
          <w:tcPr>
            <w:tcW w:w="9233" w:type="dxa"/>
          </w:tcPr>
          <w:p w14:paraId="780ACF35" w14:textId="77777777" w:rsidR="00573E90" w:rsidRPr="00E94BE8" w:rsidRDefault="00573E90" w:rsidP="00573E90">
            <w:pPr>
              <w:rPr>
                <w:highlight w:val="yellow"/>
              </w:rPr>
            </w:pPr>
          </w:p>
          <w:p w14:paraId="51BC28F3" w14:textId="22BAE538" w:rsidR="00573E90" w:rsidRPr="00A61547" w:rsidRDefault="00573E90" w:rsidP="00573E90">
            <w:r w:rsidRPr="00A61547">
              <w:t>The boundary of Ash is defined by the County Border to the west and the border with Surrey Heath to the north.  The eastern boundary is co-</w:t>
            </w:r>
            <w:r w:rsidR="00D500C0" w:rsidRPr="00A61547">
              <w:t>terminus</w:t>
            </w:r>
            <w:r w:rsidRPr="00A61547">
              <w:t xml:space="preserve"> with the boundary of Normandy Parish, which has a strong, distinct community.  </w:t>
            </w:r>
          </w:p>
          <w:p w14:paraId="3A7BE67E" w14:textId="77777777" w:rsidR="00573E90" w:rsidRPr="00A61547" w:rsidRDefault="00573E90" w:rsidP="00573E90"/>
          <w:p w14:paraId="3E463F0C" w14:textId="2F7A5A3A" w:rsidR="00573E90" w:rsidRPr="00A36133" w:rsidRDefault="00573E90" w:rsidP="00573E90">
            <w:r w:rsidRPr="00A61547">
              <w:t xml:space="preserve">It is suggested that the southern boundary of Ash is amended, so that the new division incorporates polling district R1, part of the new Ash South ward. This area has clear community links with the rest of Ash and the move will help address electoral equality. </w:t>
            </w:r>
            <w:r w:rsidR="001A0DDF" w:rsidRPr="00A61547">
              <w:t>Unfortunately,</w:t>
            </w:r>
            <w:r w:rsidRPr="00A61547">
              <w:t xml:space="preserve"> the whole of Ash South ward cannot be moved as this area is heavily populated and </w:t>
            </w:r>
            <w:r w:rsidR="00853689">
              <w:t xml:space="preserve">it </w:t>
            </w:r>
            <w:r w:rsidRPr="00A61547">
              <w:t>would make Ash division too large. Hence the suggestion to move part of the ward.</w:t>
            </w:r>
          </w:p>
          <w:p w14:paraId="27ED8FF2" w14:textId="77777777" w:rsidR="00573E90" w:rsidRPr="00E94BE8" w:rsidRDefault="00573E90" w:rsidP="00573E90">
            <w:pPr>
              <w:rPr>
                <w:i/>
                <w:iCs/>
                <w:highlight w:val="yellow"/>
              </w:rPr>
            </w:pPr>
          </w:p>
        </w:tc>
      </w:tr>
      <w:tr w:rsidR="00573E90" w14:paraId="1531C8AE" w14:textId="77777777">
        <w:tc>
          <w:tcPr>
            <w:tcW w:w="3045" w:type="dxa"/>
          </w:tcPr>
          <w:p w14:paraId="2E6E2714" w14:textId="77777777" w:rsidR="00573E90" w:rsidRPr="00771FC6" w:rsidRDefault="00573E90" w:rsidP="00573E90">
            <w:pPr>
              <w:spacing w:before="240"/>
              <w:jc w:val="center"/>
              <w:rPr>
                <w:b/>
                <w:bCs/>
              </w:rPr>
            </w:pPr>
            <w:r w:rsidRPr="00771FC6">
              <w:rPr>
                <w:b/>
                <w:bCs/>
              </w:rPr>
              <w:t>Guildford East</w:t>
            </w:r>
          </w:p>
        </w:tc>
        <w:tc>
          <w:tcPr>
            <w:tcW w:w="1321" w:type="dxa"/>
            <w:vAlign w:val="center"/>
          </w:tcPr>
          <w:p w14:paraId="52DDF3D8" w14:textId="23FF9E64" w:rsidR="00573E90" w:rsidRPr="00E94BE8" w:rsidRDefault="00573E90" w:rsidP="00573E90">
            <w:pPr>
              <w:spacing w:before="240"/>
              <w:jc w:val="center"/>
              <w:rPr>
                <w:highlight w:val="yellow"/>
              </w:rPr>
            </w:pPr>
            <w:r w:rsidRPr="006159A7">
              <w:rPr>
                <w:rFonts w:cs="Arial"/>
              </w:rPr>
              <w:t>11,785</w:t>
            </w:r>
          </w:p>
        </w:tc>
        <w:tc>
          <w:tcPr>
            <w:tcW w:w="1280" w:type="dxa"/>
            <w:vAlign w:val="center"/>
          </w:tcPr>
          <w:p w14:paraId="27E08D8C" w14:textId="72F3F34D" w:rsidR="00573E90" w:rsidRPr="00E94BE8" w:rsidRDefault="00573E90" w:rsidP="00573E90">
            <w:pPr>
              <w:spacing w:before="240"/>
              <w:jc w:val="center"/>
              <w:rPr>
                <w:highlight w:val="yellow"/>
              </w:rPr>
            </w:pPr>
            <w:r w:rsidRPr="006159A7">
              <w:rPr>
                <w:rFonts w:cs="Arial"/>
              </w:rPr>
              <w:t>-1%</w:t>
            </w:r>
          </w:p>
        </w:tc>
        <w:tc>
          <w:tcPr>
            <w:tcW w:w="9233" w:type="dxa"/>
          </w:tcPr>
          <w:p w14:paraId="42496C21" w14:textId="77777777" w:rsidR="00573E90" w:rsidRPr="00E94BE8" w:rsidRDefault="00573E90" w:rsidP="00573E90">
            <w:pPr>
              <w:rPr>
                <w:highlight w:val="yellow"/>
              </w:rPr>
            </w:pPr>
          </w:p>
          <w:p w14:paraId="5A292C3B" w14:textId="765CFB68" w:rsidR="00E65C34" w:rsidRDefault="00E65C34" w:rsidP="00573E90">
            <w:r>
              <w:t>There are no suggested changes to this division.</w:t>
            </w:r>
          </w:p>
          <w:p w14:paraId="2F5B991A" w14:textId="77777777" w:rsidR="00E65C34" w:rsidRDefault="00E65C34" w:rsidP="00573E90"/>
          <w:p w14:paraId="15C5F6BF" w14:textId="7892B5F6" w:rsidR="00573E90" w:rsidRPr="006159A7" w:rsidRDefault="00573E90" w:rsidP="00573E90">
            <w:r w:rsidRPr="006159A7">
              <w:t xml:space="preserve">The </w:t>
            </w:r>
            <w:r w:rsidR="003662BF">
              <w:t>d</w:t>
            </w:r>
            <w:r w:rsidRPr="006159A7">
              <w:t xml:space="preserve">ivision of Guildford East encompasses the two district wards of Burpham and Merrow.  </w:t>
            </w:r>
          </w:p>
          <w:p w14:paraId="6697BF2C" w14:textId="77777777" w:rsidR="00573E90" w:rsidRPr="006159A7" w:rsidRDefault="00573E90" w:rsidP="00573E90"/>
          <w:p w14:paraId="668DE741" w14:textId="6440B8D2" w:rsidR="00573E90" w:rsidRPr="006159A7" w:rsidRDefault="00573E90" w:rsidP="00573E90">
            <w:r w:rsidRPr="006159A7">
              <w:t xml:space="preserve">These are two separate communities, with their own identities and represented by Merrow Residents’ Association and Burpham Community Association. </w:t>
            </w:r>
          </w:p>
          <w:p w14:paraId="6CED9482" w14:textId="77777777" w:rsidR="00573E90" w:rsidRPr="006159A7" w:rsidRDefault="00573E90" w:rsidP="00573E90"/>
          <w:p w14:paraId="71672EA4" w14:textId="4876F759" w:rsidR="00573E90" w:rsidRPr="006159A7" w:rsidRDefault="00573E90" w:rsidP="00573E90">
            <w:r w:rsidRPr="006159A7">
              <w:t xml:space="preserve">The eastern border follows the parish boundaries of West Clandon, Albury and St Martha Parishes, with the western border following Borough ward lines of Burpham and Merrow.  The northern border follows the A3 and the River Wey, a natural barrier dividing the community from the northerly parts of Guildford, which are included in the </w:t>
            </w:r>
            <w:r w:rsidR="00E65C34">
              <w:t>d</w:t>
            </w:r>
            <w:r w:rsidRPr="006159A7">
              <w:t xml:space="preserve">ivision of Guildford North.  </w:t>
            </w:r>
          </w:p>
          <w:p w14:paraId="1E754DAE" w14:textId="77777777" w:rsidR="00573E90" w:rsidRPr="00E94BE8" w:rsidRDefault="00573E90" w:rsidP="00573E90">
            <w:pPr>
              <w:rPr>
                <w:highlight w:val="yellow"/>
              </w:rPr>
            </w:pPr>
          </w:p>
        </w:tc>
      </w:tr>
      <w:tr w:rsidR="00573E90" w14:paraId="495AF3E4" w14:textId="77777777">
        <w:tc>
          <w:tcPr>
            <w:tcW w:w="3045" w:type="dxa"/>
          </w:tcPr>
          <w:p w14:paraId="31EC8517" w14:textId="77777777" w:rsidR="00573E90" w:rsidRPr="00771FC6" w:rsidRDefault="00573E90" w:rsidP="00573E90">
            <w:pPr>
              <w:spacing w:before="240"/>
              <w:jc w:val="center"/>
              <w:rPr>
                <w:b/>
                <w:bCs/>
              </w:rPr>
            </w:pPr>
            <w:r w:rsidRPr="00771FC6">
              <w:rPr>
                <w:b/>
                <w:bCs/>
              </w:rPr>
              <w:t>Guildford North</w:t>
            </w:r>
          </w:p>
        </w:tc>
        <w:tc>
          <w:tcPr>
            <w:tcW w:w="1321" w:type="dxa"/>
            <w:vAlign w:val="center"/>
          </w:tcPr>
          <w:p w14:paraId="59BAA0F1" w14:textId="393A3ECC" w:rsidR="00573E90" w:rsidRPr="001F517E" w:rsidRDefault="00573E90" w:rsidP="00573E90">
            <w:pPr>
              <w:spacing w:before="240"/>
              <w:jc w:val="center"/>
            </w:pPr>
            <w:r w:rsidRPr="001F517E">
              <w:rPr>
                <w:rFonts w:cs="Arial"/>
              </w:rPr>
              <w:t>1</w:t>
            </w:r>
            <w:r w:rsidR="001F517E" w:rsidRPr="001F517E">
              <w:rPr>
                <w:rFonts w:cs="Arial"/>
              </w:rPr>
              <w:t>2,025</w:t>
            </w:r>
          </w:p>
        </w:tc>
        <w:tc>
          <w:tcPr>
            <w:tcW w:w="1280" w:type="dxa"/>
            <w:vAlign w:val="center"/>
          </w:tcPr>
          <w:p w14:paraId="67BD125E" w14:textId="2CE10196" w:rsidR="00573E90" w:rsidRPr="00E94BE8" w:rsidRDefault="00573E90" w:rsidP="00573E90">
            <w:pPr>
              <w:spacing w:before="240"/>
              <w:jc w:val="center"/>
              <w:rPr>
                <w:highlight w:val="yellow"/>
              </w:rPr>
            </w:pPr>
            <w:r w:rsidRPr="001F517E">
              <w:rPr>
                <w:rFonts w:cs="Arial"/>
              </w:rPr>
              <w:t>1%</w:t>
            </w:r>
          </w:p>
        </w:tc>
        <w:tc>
          <w:tcPr>
            <w:tcW w:w="9233" w:type="dxa"/>
          </w:tcPr>
          <w:p w14:paraId="6EBF07B6" w14:textId="77777777" w:rsidR="00573E90" w:rsidRPr="00E94BE8" w:rsidRDefault="00573E90" w:rsidP="00573E90">
            <w:pPr>
              <w:rPr>
                <w:highlight w:val="yellow"/>
              </w:rPr>
            </w:pPr>
          </w:p>
          <w:p w14:paraId="77A1F256" w14:textId="66D31572" w:rsidR="00102AD2" w:rsidRDefault="00102AD2" w:rsidP="00102AD2">
            <w:r>
              <w:t xml:space="preserve">The </w:t>
            </w:r>
            <w:r w:rsidR="00E65C34">
              <w:t>d</w:t>
            </w:r>
            <w:r>
              <w:t xml:space="preserve">ivision of Guildford North borders Worplesdon Parish to the north until it meets and follows the River Wey, down to the A3, a major arterial road through Guildford that intersects the community.   It follows the A3 until the junction for the A322, another arterial road, which the </w:t>
            </w:r>
            <w:r w:rsidR="00886C87">
              <w:t>d</w:t>
            </w:r>
            <w:r>
              <w:t>ivision boundary follows north</w:t>
            </w:r>
            <w:r w:rsidR="00E90AC8">
              <w:t>.</w:t>
            </w:r>
          </w:p>
          <w:p w14:paraId="20960E82" w14:textId="37B75902" w:rsidR="00E90AC8" w:rsidRDefault="00E90AC8" w:rsidP="00102AD2"/>
          <w:p w14:paraId="4B0E1E01" w14:textId="30E88084" w:rsidR="00102AD2" w:rsidRPr="00E65C34" w:rsidRDefault="00E90AC8" w:rsidP="00102AD2">
            <w:r>
              <w:t xml:space="preserve">It is suggested that Poling District </w:t>
            </w:r>
            <w:r w:rsidR="003E17BE">
              <w:t xml:space="preserve">J2 moves from Guildford North into Guildford West. This would address the electoral inequality between the two </w:t>
            </w:r>
            <w:r w:rsidR="00886C87">
              <w:t>d</w:t>
            </w:r>
            <w:r w:rsidR="003E17BE">
              <w:t xml:space="preserve">ivisions, moving Guildford North to 1% </w:t>
            </w:r>
            <w:r w:rsidR="007536AA">
              <w:t>and Guildford West to 5% (when combined with another change</w:t>
            </w:r>
            <w:r w:rsidR="00886C87">
              <w:t xml:space="preserve">, detailed in the description for </w:t>
            </w:r>
            <w:r w:rsidR="006431FD">
              <w:t>Guildford West</w:t>
            </w:r>
            <w:r w:rsidR="007536AA">
              <w:t xml:space="preserve">). </w:t>
            </w:r>
          </w:p>
          <w:p w14:paraId="021060B7" w14:textId="495E8B2D" w:rsidR="00573E90" w:rsidRPr="00E94BE8" w:rsidRDefault="00573E90" w:rsidP="00573E90">
            <w:pPr>
              <w:rPr>
                <w:highlight w:val="yellow"/>
              </w:rPr>
            </w:pPr>
          </w:p>
        </w:tc>
      </w:tr>
      <w:tr w:rsidR="00FC708C" w14:paraId="00806F46" w14:textId="77777777">
        <w:tc>
          <w:tcPr>
            <w:tcW w:w="3045" w:type="dxa"/>
          </w:tcPr>
          <w:p w14:paraId="414B6080" w14:textId="20254178" w:rsidR="00FC708C" w:rsidRPr="00771FC6" w:rsidRDefault="00FC708C" w:rsidP="00FC708C">
            <w:pPr>
              <w:spacing w:before="240"/>
              <w:jc w:val="center"/>
              <w:rPr>
                <w:b/>
                <w:bCs/>
              </w:rPr>
            </w:pPr>
            <w:r w:rsidRPr="00771FC6">
              <w:rPr>
                <w:b/>
                <w:bCs/>
              </w:rPr>
              <w:t>Guildford South</w:t>
            </w:r>
            <w:r w:rsidR="004A1CF5">
              <w:rPr>
                <w:b/>
                <w:bCs/>
              </w:rPr>
              <w:t>-</w:t>
            </w:r>
            <w:r w:rsidRPr="00771FC6">
              <w:rPr>
                <w:b/>
                <w:bCs/>
              </w:rPr>
              <w:t>East</w:t>
            </w:r>
          </w:p>
        </w:tc>
        <w:tc>
          <w:tcPr>
            <w:tcW w:w="1321" w:type="dxa"/>
            <w:vAlign w:val="center"/>
          </w:tcPr>
          <w:p w14:paraId="03C1E3D9" w14:textId="1626B0B8" w:rsidR="00FC708C" w:rsidRPr="006431FD" w:rsidRDefault="00DA3D45" w:rsidP="00FC708C">
            <w:pPr>
              <w:spacing w:before="240"/>
              <w:jc w:val="center"/>
            </w:pPr>
            <w:r w:rsidRPr="006431FD">
              <w:t>TBC</w:t>
            </w:r>
          </w:p>
        </w:tc>
        <w:tc>
          <w:tcPr>
            <w:tcW w:w="1280" w:type="dxa"/>
            <w:vAlign w:val="center"/>
          </w:tcPr>
          <w:p w14:paraId="404EAB0A" w14:textId="0E40C3A0" w:rsidR="00FC708C" w:rsidRPr="006431FD" w:rsidRDefault="00DA3D45" w:rsidP="00FC708C">
            <w:pPr>
              <w:spacing w:before="240"/>
              <w:jc w:val="center"/>
            </w:pPr>
            <w:r w:rsidRPr="006431FD">
              <w:t>TBC</w:t>
            </w:r>
          </w:p>
        </w:tc>
        <w:tc>
          <w:tcPr>
            <w:tcW w:w="9233" w:type="dxa"/>
          </w:tcPr>
          <w:p w14:paraId="344CF122" w14:textId="77777777" w:rsidR="00FC708C" w:rsidRPr="006431FD" w:rsidRDefault="00FC708C" w:rsidP="00FC708C"/>
          <w:p w14:paraId="22A6C42D" w14:textId="260A9460" w:rsidR="00841081" w:rsidRPr="006431FD" w:rsidRDefault="00757EA0" w:rsidP="00224A74">
            <w:r w:rsidRPr="006431FD">
              <w:t>There is currently a large electoral inequality between Guildford South-East and Guildford South</w:t>
            </w:r>
            <w:r w:rsidR="00D83376" w:rsidRPr="006431FD">
              <w:t>-West. Th</w:t>
            </w:r>
            <w:r w:rsidR="00743717" w:rsidRPr="006431FD">
              <w:t xml:space="preserve">e </w:t>
            </w:r>
            <w:r w:rsidR="00A44F02">
              <w:t>t</w:t>
            </w:r>
            <w:r w:rsidR="00743717" w:rsidRPr="006431FD">
              <w:t xml:space="preserve">ask </w:t>
            </w:r>
            <w:r w:rsidR="00A44F02">
              <w:t>g</w:t>
            </w:r>
            <w:r w:rsidR="00743717" w:rsidRPr="006431FD">
              <w:t xml:space="preserve">roup has decided to put forward three </w:t>
            </w:r>
            <w:r w:rsidR="00A44F02">
              <w:t>different option</w:t>
            </w:r>
            <w:r w:rsidR="00566B2F">
              <w:t>s</w:t>
            </w:r>
            <w:r w:rsidR="00A44F02">
              <w:t xml:space="preserve"> </w:t>
            </w:r>
            <w:r w:rsidR="00743717" w:rsidRPr="006431FD">
              <w:t xml:space="preserve">to address this inequality to the Commission, having felt that </w:t>
            </w:r>
            <w:r w:rsidR="000143D3">
              <w:t>all three met the Commission’s criteria in different ways. Maps for each option are provided within the appendix.</w:t>
            </w:r>
          </w:p>
          <w:p w14:paraId="3663FD2F" w14:textId="34F4BF87" w:rsidR="00D96E69" w:rsidRPr="006431FD" w:rsidRDefault="00D96E69" w:rsidP="00224A74"/>
          <w:p w14:paraId="06A1AC77" w14:textId="08E0399C" w:rsidR="00CC45DD" w:rsidRPr="006431FD" w:rsidRDefault="00775767" w:rsidP="00224A74">
            <w:r w:rsidRPr="006431FD">
              <w:t xml:space="preserve">Option </w:t>
            </w:r>
            <w:r w:rsidR="000143D3">
              <w:t>A</w:t>
            </w:r>
            <w:r w:rsidRPr="006431FD">
              <w:t xml:space="preserve">: Move part of </w:t>
            </w:r>
            <w:r w:rsidR="00EA7B8F">
              <w:t>p</w:t>
            </w:r>
            <w:r w:rsidRPr="006431FD">
              <w:t xml:space="preserve">olling </w:t>
            </w:r>
            <w:r w:rsidR="00EA7B8F">
              <w:t>d</w:t>
            </w:r>
            <w:r w:rsidRPr="006431FD">
              <w:t>istrict C4 from Gui</w:t>
            </w:r>
            <w:r w:rsidR="000D6D16" w:rsidRPr="006431FD">
              <w:t>ldford South-West into Guildford South-East</w:t>
            </w:r>
            <w:r w:rsidR="00CA1865" w:rsidRPr="006431FD">
              <w:t xml:space="preserve">, with York Road acting as the boundary between the two. </w:t>
            </w:r>
            <w:r w:rsidR="00EA7B8F">
              <w:t xml:space="preserve">The task group has not been able to gather the </w:t>
            </w:r>
            <w:r w:rsidR="00CA1865" w:rsidRPr="006431FD">
              <w:t>exact figures for this option but</w:t>
            </w:r>
            <w:r w:rsidR="00EA7B8F">
              <w:t xml:space="preserve"> are aware that it would bring both divisions within tolerance. </w:t>
            </w:r>
          </w:p>
          <w:p w14:paraId="0333BC7C" w14:textId="72D2992A" w:rsidR="00F20DA4" w:rsidRPr="006431FD" w:rsidRDefault="00F20DA4" w:rsidP="00224A74"/>
          <w:p w14:paraId="759C183A" w14:textId="209CF1FE" w:rsidR="004A4BC8" w:rsidRPr="006431FD" w:rsidRDefault="00F20DA4" w:rsidP="004A4BC8">
            <w:pPr>
              <w:overflowPunct/>
              <w:autoSpaceDE/>
              <w:autoSpaceDN/>
              <w:adjustRightInd/>
              <w:textAlignment w:val="auto"/>
              <w:rPr>
                <w:rFonts w:eastAsia="Calibri" w:cs="Arial"/>
                <w:szCs w:val="22"/>
              </w:rPr>
            </w:pPr>
            <w:r w:rsidRPr="006431FD">
              <w:rPr>
                <w:rFonts w:cs="Arial"/>
              </w:rPr>
              <w:t xml:space="preserve">Option </w:t>
            </w:r>
            <w:r w:rsidR="000143D3">
              <w:rPr>
                <w:rFonts w:cs="Arial"/>
              </w:rPr>
              <w:t>B</w:t>
            </w:r>
            <w:r w:rsidRPr="006431FD">
              <w:rPr>
                <w:rFonts w:cs="Arial"/>
              </w:rPr>
              <w:t xml:space="preserve">: </w:t>
            </w:r>
            <w:r w:rsidR="00EA7B8F">
              <w:rPr>
                <w:rFonts w:cs="Arial"/>
              </w:rPr>
              <w:t>The following roads from p</w:t>
            </w:r>
            <w:r w:rsidR="004A4BC8" w:rsidRPr="006431FD">
              <w:rPr>
                <w:rFonts w:cs="Arial"/>
              </w:rPr>
              <w:t xml:space="preserve">olling </w:t>
            </w:r>
            <w:r w:rsidR="00EA7B8F">
              <w:rPr>
                <w:rFonts w:cs="Arial"/>
              </w:rPr>
              <w:t>d</w:t>
            </w:r>
            <w:r w:rsidR="004A4BC8" w:rsidRPr="006431FD">
              <w:rPr>
                <w:rFonts w:cs="Arial"/>
              </w:rPr>
              <w:t xml:space="preserve">istrict </w:t>
            </w:r>
            <w:r w:rsidR="004A4BC8" w:rsidRPr="00EA7B8F">
              <w:rPr>
                <w:rFonts w:eastAsia="Calibri" w:cs="Arial"/>
                <w:szCs w:val="22"/>
              </w:rPr>
              <w:t>C1 remain in Guildford South</w:t>
            </w:r>
            <w:r w:rsidR="00EA7B8F">
              <w:rPr>
                <w:rFonts w:eastAsia="Calibri" w:cs="Arial"/>
                <w:szCs w:val="22"/>
              </w:rPr>
              <w:t>-</w:t>
            </w:r>
            <w:r w:rsidR="004A4BC8" w:rsidRPr="00EA7B8F">
              <w:rPr>
                <w:rFonts w:eastAsia="Calibri" w:cs="Arial"/>
                <w:szCs w:val="22"/>
              </w:rPr>
              <w:t xml:space="preserve">West </w:t>
            </w:r>
            <w:r w:rsidR="00286F94" w:rsidRPr="00EA7B8F">
              <w:rPr>
                <w:rFonts w:eastAsia="Calibri" w:cs="Arial"/>
                <w:szCs w:val="22"/>
              </w:rPr>
              <w:t xml:space="preserve">with the remaining roads moving into </w:t>
            </w:r>
            <w:r w:rsidR="00EA7B8F" w:rsidRPr="00EA7B8F">
              <w:rPr>
                <w:rFonts w:eastAsia="Calibri" w:cs="Arial"/>
                <w:szCs w:val="22"/>
              </w:rPr>
              <w:t>Guildford</w:t>
            </w:r>
            <w:r w:rsidR="00286F94" w:rsidRPr="00EA7B8F">
              <w:rPr>
                <w:rFonts w:eastAsia="Calibri" w:cs="Arial"/>
                <w:szCs w:val="22"/>
              </w:rPr>
              <w:t xml:space="preserve"> South-East</w:t>
            </w:r>
            <w:r w:rsidR="00286F94" w:rsidRPr="006431FD">
              <w:rPr>
                <w:rFonts w:eastAsia="Calibri" w:cs="Arial"/>
                <w:b/>
                <w:bCs/>
                <w:szCs w:val="22"/>
              </w:rPr>
              <w:t>.</w:t>
            </w:r>
            <w:r w:rsidR="004A4BC8" w:rsidRPr="006431FD">
              <w:rPr>
                <w:rFonts w:eastAsia="Calibri" w:cs="Arial"/>
                <w:szCs w:val="22"/>
              </w:rPr>
              <w:t xml:space="preserve"> </w:t>
            </w:r>
            <w:r w:rsidR="00286F94" w:rsidRPr="006431FD">
              <w:rPr>
                <w:rFonts w:eastAsia="Calibri" w:cs="Arial"/>
                <w:szCs w:val="22"/>
              </w:rPr>
              <w:t>These roads encompass a compact residential area near to the Guildford Borough’s new divisional boundary of Onslow Ward.</w:t>
            </w:r>
          </w:p>
          <w:p w14:paraId="06CA4114" w14:textId="77777777" w:rsidR="00286F94" w:rsidRPr="006431FD" w:rsidRDefault="00286F94" w:rsidP="004A4BC8">
            <w:pPr>
              <w:overflowPunct/>
              <w:autoSpaceDE/>
              <w:autoSpaceDN/>
              <w:adjustRightInd/>
              <w:textAlignment w:val="auto"/>
              <w:rPr>
                <w:rFonts w:eastAsia="Calibri" w:cs="Arial"/>
                <w:szCs w:val="22"/>
              </w:rPr>
            </w:pPr>
          </w:p>
          <w:p w14:paraId="005A5A5E"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Farnham Road (both sides)</w:t>
            </w:r>
          </w:p>
          <w:p w14:paraId="25496DD7"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Wherwell Road</w:t>
            </w:r>
          </w:p>
          <w:p w14:paraId="0D079299"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Testard Road</w:t>
            </w:r>
          </w:p>
          <w:p w14:paraId="768FB000"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Wodeland Avenue</w:t>
            </w:r>
          </w:p>
          <w:p w14:paraId="015FE797"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Nethermount</w:t>
            </w:r>
          </w:p>
          <w:p w14:paraId="57443B6F"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Annandale Road</w:t>
            </w:r>
          </w:p>
          <w:p w14:paraId="6FA8F846"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Mareschal Road</w:t>
            </w:r>
          </w:p>
          <w:p w14:paraId="404990C3"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Mountside</w:t>
            </w:r>
          </w:p>
          <w:p w14:paraId="61436214"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The Mount, including Henley Fort</w:t>
            </w:r>
          </w:p>
          <w:p w14:paraId="71167FEA" w14:textId="77777777"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and</w:t>
            </w:r>
          </w:p>
          <w:p w14:paraId="07362E5F" w14:textId="5338A87A" w:rsidR="004A4BC8" w:rsidRPr="006431FD" w:rsidRDefault="004A4BC8" w:rsidP="004A4BC8">
            <w:pPr>
              <w:overflowPunct/>
              <w:autoSpaceDE/>
              <w:autoSpaceDN/>
              <w:adjustRightInd/>
              <w:textAlignment w:val="auto"/>
              <w:rPr>
                <w:rFonts w:eastAsia="Calibri" w:cs="Arial"/>
                <w:szCs w:val="22"/>
              </w:rPr>
            </w:pPr>
            <w:r w:rsidRPr="006431FD">
              <w:rPr>
                <w:rFonts w:eastAsia="Calibri" w:cs="Arial"/>
                <w:szCs w:val="22"/>
              </w:rPr>
              <w:t>Mount Pleasant</w:t>
            </w:r>
          </w:p>
          <w:p w14:paraId="3FA4254A" w14:textId="173760FA" w:rsidR="002E4426" w:rsidRPr="006431FD" w:rsidRDefault="002E4426" w:rsidP="004A4BC8">
            <w:pPr>
              <w:overflowPunct/>
              <w:autoSpaceDE/>
              <w:autoSpaceDN/>
              <w:adjustRightInd/>
              <w:textAlignment w:val="auto"/>
              <w:rPr>
                <w:rFonts w:eastAsia="Calibri" w:cs="Arial"/>
                <w:szCs w:val="22"/>
              </w:rPr>
            </w:pPr>
          </w:p>
          <w:p w14:paraId="4290092C" w14:textId="7E177650" w:rsidR="002E4426" w:rsidRPr="006431FD" w:rsidRDefault="002E4426" w:rsidP="004A4BC8">
            <w:pPr>
              <w:overflowPunct/>
              <w:autoSpaceDE/>
              <w:autoSpaceDN/>
              <w:adjustRightInd/>
              <w:textAlignment w:val="auto"/>
              <w:rPr>
                <w:rFonts w:eastAsia="Calibri" w:cs="Arial"/>
                <w:szCs w:val="22"/>
              </w:rPr>
            </w:pPr>
            <w:r w:rsidRPr="006431FD">
              <w:rPr>
                <w:rFonts w:eastAsia="Calibri" w:cs="Arial"/>
                <w:szCs w:val="22"/>
              </w:rPr>
              <w:t xml:space="preserve">Again, </w:t>
            </w:r>
            <w:r w:rsidR="00670FC7">
              <w:rPr>
                <w:rFonts w:eastAsia="Calibri" w:cs="Arial"/>
                <w:szCs w:val="22"/>
              </w:rPr>
              <w:t>the task group does not have</w:t>
            </w:r>
            <w:r w:rsidRPr="006431FD">
              <w:rPr>
                <w:rFonts w:eastAsia="Calibri" w:cs="Arial"/>
                <w:szCs w:val="22"/>
              </w:rPr>
              <w:t xml:space="preserve"> the exact figures for this option but </w:t>
            </w:r>
            <w:r w:rsidR="00670FC7">
              <w:rPr>
                <w:rFonts w:eastAsia="Calibri" w:cs="Arial"/>
                <w:szCs w:val="22"/>
              </w:rPr>
              <w:t>are aware that the move would bring both divisions within tolerance.</w:t>
            </w:r>
          </w:p>
          <w:p w14:paraId="6388B3D2" w14:textId="77777777" w:rsidR="004A4BC8" w:rsidRPr="006431FD" w:rsidRDefault="004A4BC8" w:rsidP="00224A74"/>
          <w:p w14:paraId="4D172732" w14:textId="62752E89" w:rsidR="00CA1865" w:rsidRPr="006431FD" w:rsidRDefault="00286F94" w:rsidP="00224A74">
            <w:r w:rsidRPr="006431FD">
              <w:t xml:space="preserve">Option </w:t>
            </w:r>
            <w:r w:rsidR="00670FC7">
              <w:t>C</w:t>
            </w:r>
            <w:r w:rsidRPr="006431FD">
              <w:t xml:space="preserve">: </w:t>
            </w:r>
            <w:r w:rsidR="002E4426" w:rsidRPr="006431FD">
              <w:t xml:space="preserve">Suggests more of a complete re-draw of both </w:t>
            </w:r>
            <w:r w:rsidR="00670FC7">
              <w:t>d</w:t>
            </w:r>
            <w:r w:rsidR="002E4426" w:rsidRPr="006431FD">
              <w:t>ivisions, so that Guildford-South E</w:t>
            </w:r>
            <w:r w:rsidR="001D03B8" w:rsidRPr="006431FD">
              <w:t xml:space="preserve">ast becomes Guildford Central and Guildford South-West becomes Guildford South. </w:t>
            </w:r>
            <w:r w:rsidR="00AE752A" w:rsidRPr="006431FD">
              <w:t xml:space="preserve">This option improves co-terminosity with the new </w:t>
            </w:r>
            <w:r w:rsidR="00275313">
              <w:t>b</w:t>
            </w:r>
            <w:r w:rsidR="00AE752A" w:rsidRPr="006431FD">
              <w:t xml:space="preserve">orough </w:t>
            </w:r>
            <w:r w:rsidR="00275313">
              <w:t>c</w:t>
            </w:r>
            <w:r w:rsidR="00AE752A" w:rsidRPr="006431FD">
              <w:t>ouncil wards and also address</w:t>
            </w:r>
            <w:r w:rsidR="00C87360">
              <w:t xml:space="preserve">es </w:t>
            </w:r>
            <w:r w:rsidR="00AE752A" w:rsidRPr="006431FD">
              <w:t xml:space="preserve">electoral inequality with the new </w:t>
            </w:r>
            <w:r w:rsidR="00C87360">
              <w:t>d</w:t>
            </w:r>
            <w:r w:rsidR="00AE752A" w:rsidRPr="006431FD">
              <w:t>ivisions at 4% and 8%</w:t>
            </w:r>
            <w:r w:rsidR="00C87360">
              <w:t xml:space="preserve"> respectively. </w:t>
            </w:r>
          </w:p>
          <w:p w14:paraId="025E8E29" w14:textId="62DD7DB4" w:rsidR="00224A74" w:rsidRPr="006431FD" w:rsidRDefault="00224A74" w:rsidP="00224A74">
            <w:pPr>
              <w:rPr>
                <w:i/>
              </w:rPr>
            </w:pPr>
          </w:p>
        </w:tc>
      </w:tr>
      <w:tr w:rsidR="00FC708C" w14:paraId="4FD215EC" w14:textId="77777777">
        <w:tc>
          <w:tcPr>
            <w:tcW w:w="3045" w:type="dxa"/>
          </w:tcPr>
          <w:p w14:paraId="5A3982A2" w14:textId="61247A04" w:rsidR="00FC708C" w:rsidRPr="00771FC6" w:rsidRDefault="00FC708C" w:rsidP="00FC708C">
            <w:pPr>
              <w:spacing w:before="240"/>
              <w:jc w:val="center"/>
              <w:rPr>
                <w:b/>
                <w:bCs/>
              </w:rPr>
            </w:pPr>
            <w:r w:rsidRPr="00771FC6">
              <w:rPr>
                <w:b/>
                <w:bCs/>
              </w:rPr>
              <w:t>Guildford South</w:t>
            </w:r>
            <w:r w:rsidR="00C87360">
              <w:rPr>
                <w:b/>
                <w:bCs/>
              </w:rPr>
              <w:t>-</w:t>
            </w:r>
            <w:r w:rsidRPr="00771FC6">
              <w:rPr>
                <w:b/>
                <w:bCs/>
              </w:rPr>
              <w:t>West</w:t>
            </w:r>
          </w:p>
        </w:tc>
        <w:tc>
          <w:tcPr>
            <w:tcW w:w="1321" w:type="dxa"/>
            <w:vAlign w:val="center"/>
          </w:tcPr>
          <w:p w14:paraId="6B556625" w14:textId="15A4FAD4" w:rsidR="00FC708C" w:rsidRPr="00E94BE8" w:rsidRDefault="00AE752A" w:rsidP="00FC708C">
            <w:pPr>
              <w:spacing w:before="240"/>
              <w:jc w:val="center"/>
              <w:rPr>
                <w:highlight w:val="yellow"/>
              </w:rPr>
            </w:pPr>
            <w:r w:rsidRPr="00AE752A">
              <w:t>TBC</w:t>
            </w:r>
          </w:p>
        </w:tc>
        <w:tc>
          <w:tcPr>
            <w:tcW w:w="1280" w:type="dxa"/>
            <w:vAlign w:val="center"/>
          </w:tcPr>
          <w:p w14:paraId="463C9CB7" w14:textId="5D9C5CEA" w:rsidR="00FC708C" w:rsidRPr="00E94BE8" w:rsidRDefault="00AE752A" w:rsidP="00FC708C">
            <w:pPr>
              <w:spacing w:before="240"/>
              <w:jc w:val="center"/>
              <w:rPr>
                <w:highlight w:val="yellow"/>
              </w:rPr>
            </w:pPr>
            <w:r w:rsidRPr="00AE752A">
              <w:t>TBC</w:t>
            </w:r>
          </w:p>
        </w:tc>
        <w:tc>
          <w:tcPr>
            <w:tcW w:w="9233" w:type="dxa"/>
          </w:tcPr>
          <w:p w14:paraId="3D39F5F1" w14:textId="77777777" w:rsidR="00FC708C" w:rsidRPr="00E94BE8" w:rsidRDefault="00FC708C" w:rsidP="00FC708C">
            <w:pPr>
              <w:rPr>
                <w:highlight w:val="yellow"/>
              </w:rPr>
            </w:pPr>
          </w:p>
          <w:p w14:paraId="4A46B43C" w14:textId="77777777" w:rsidR="00224A74" w:rsidRDefault="00224A74" w:rsidP="00AE752A">
            <w:pPr>
              <w:rPr>
                <w:highlight w:val="yellow"/>
              </w:rPr>
            </w:pPr>
          </w:p>
          <w:p w14:paraId="010F4643" w14:textId="2CF863EA" w:rsidR="00AE752A" w:rsidRPr="00AE752A" w:rsidRDefault="00AE752A" w:rsidP="00AE752A">
            <w:r w:rsidRPr="00AE752A">
              <w:t>See options for Guildford South</w:t>
            </w:r>
            <w:r w:rsidR="00C87360">
              <w:t>-</w:t>
            </w:r>
            <w:r w:rsidRPr="00AE752A">
              <w:t>East above.</w:t>
            </w:r>
          </w:p>
          <w:p w14:paraId="68819F88" w14:textId="157D400F" w:rsidR="00224A74" w:rsidRPr="00E94BE8" w:rsidRDefault="00224A74" w:rsidP="00224A74">
            <w:pPr>
              <w:rPr>
                <w:highlight w:val="yellow"/>
              </w:rPr>
            </w:pPr>
          </w:p>
        </w:tc>
      </w:tr>
      <w:tr w:rsidR="00FC708C" w14:paraId="218DC6BD" w14:textId="77777777">
        <w:tc>
          <w:tcPr>
            <w:tcW w:w="3045" w:type="dxa"/>
          </w:tcPr>
          <w:p w14:paraId="499FDFB1" w14:textId="77777777" w:rsidR="00FC708C" w:rsidRPr="00771FC6" w:rsidRDefault="00FC708C" w:rsidP="00FC708C">
            <w:pPr>
              <w:spacing w:before="240"/>
              <w:jc w:val="center"/>
              <w:rPr>
                <w:b/>
                <w:bCs/>
              </w:rPr>
            </w:pPr>
            <w:r w:rsidRPr="00771FC6">
              <w:rPr>
                <w:b/>
                <w:bCs/>
              </w:rPr>
              <w:t>Guildford West</w:t>
            </w:r>
          </w:p>
        </w:tc>
        <w:tc>
          <w:tcPr>
            <w:tcW w:w="1321" w:type="dxa"/>
            <w:vAlign w:val="center"/>
          </w:tcPr>
          <w:p w14:paraId="155564CB" w14:textId="7E091BB0" w:rsidR="00FC708C" w:rsidRPr="0026022A" w:rsidRDefault="0026022A" w:rsidP="00FC708C">
            <w:pPr>
              <w:spacing w:before="240"/>
              <w:jc w:val="center"/>
            </w:pPr>
            <w:r w:rsidRPr="0026022A">
              <w:t>12,802</w:t>
            </w:r>
          </w:p>
        </w:tc>
        <w:tc>
          <w:tcPr>
            <w:tcW w:w="1280" w:type="dxa"/>
            <w:vAlign w:val="center"/>
          </w:tcPr>
          <w:p w14:paraId="08086AE9" w14:textId="180529EF" w:rsidR="00FC708C" w:rsidRPr="00E94BE8" w:rsidRDefault="001C07EA" w:rsidP="00FC708C">
            <w:pPr>
              <w:spacing w:before="240"/>
              <w:jc w:val="center"/>
              <w:rPr>
                <w:highlight w:val="yellow"/>
              </w:rPr>
            </w:pPr>
            <w:r w:rsidRPr="0026022A">
              <w:t>7</w:t>
            </w:r>
            <w:r w:rsidR="00FC708C" w:rsidRPr="0026022A">
              <w:t>%</w:t>
            </w:r>
          </w:p>
        </w:tc>
        <w:tc>
          <w:tcPr>
            <w:tcW w:w="9233" w:type="dxa"/>
          </w:tcPr>
          <w:p w14:paraId="25872FC4" w14:textId="77DF0408" w:rsidR="00FC708C" w:rsidRPr="00E94BE8" w:rsidRDefault="00FC708C" w:rsidP="00FC708C">
            <w:pPr>
              <w:rPr>
                <w:highlight w:val="yellow"/>
              </w:rPr>
            </w:pPr>
          </w:p>
          <w:p w14:paraId="71BCF168" w14:textId="20830C27" w:rsidR="00F31245" w:rsidRDefault="00F31245" w:rsidP="00F31245">
            <w:pPr>
              <w:overflowPunct/>
              <w:textAlignment w:val="auto"/>
              <w:rPr>
                <w:rFonts w:cs="Arial"/>
                <w:color w:val="000000"/>
                <w:lang w:val="en-US"/>
              </w:rPr>
            </w:pPr>
            <w:r>
              <w:rPr>
                <w:rFonts w:cs="Arial"/>
                <w:color w:val="000000"/>
                <w:lang w:val="en-US"/>
              </w:rPr>
              <w:t xml:space="preserve">The </w:t>
            </w:r>
            <w:r w:rsidR="00C87360">
              <w:rPr>
                <w:rFonts w:cs="Arial"/>
                <w:color w:val="000000"/>
                <w:lang w:val="en-US"/>
              </w:rPr>
              <w:t>d</w:t>
            </w:r>
            <w:r>
              <w:rPr>
                <w:rFonts w:cs="Arial"/>
                <w:color w:val="000000"/>
                <w:lang w:val="en-US"/>
              </w:rPr>
              <w:t xml:space="preserve">ivision of Guildford West includes the ward of Westborough, a natural community, and then the area south of Westborough which includes the University campus as well as the area of Manor Park, which is predominantly university residences.  Also included in this southern section are the Hospital, the Cathedral, large Tesco store and the Ashenden Estate.  There are a number of shared issues between the University, Hospital, Tesco and the residential areas round the Egerton Road area and therefore it is beneficial to have them all within the same division.  </w:t>
            </w:r>
          </w:p>
          <w:p w14:paraId="7DE1B4FF" w14:textId="77777777" w:rsidR="00EE2F6F" w:rsidRDefault="00EE2F6F" w:rsidP="00EE2F6F"/>
          <w:p w14:paraId="41AAACA7" w14:textId="546E4909" w:rsidR="009912A8" w:rsidRPr="00F31245" w:rsidRDefault="00F31245" w:rsidP="00EE2F6F">
            <w:r>
              <w:t xml:space="preserve">There are two suggested changes to this </w:t>
            </w:r>
            <w:r w:rsidR="00F15346">
              <w:t>d</w:t>
            </w:r>
            <w:r>
              <w:t>ivision. Firstly, it is</w:t>
            </w:r>
            <w:r w:rsidR="00EE2F6F">
              <w:t xml:space="preserve"> suggested that </w:t>
            </w:r>
            <w:r w:rsidR="00F15346">
              <w:t>p</w:t>
            </w:r>
            <w:r w:rsidR="00EE2F6F">
              <w:t>ol</w:t>
            </w:r>
            <w:r w:rsidR="00F15346">
              <w:t>l</w:t>
            </w:r>
            <w:r w:rsidR="00EE2F6F">
              <w:t xml:space="preserve">ing </w:t>
            </w:r>
            <w:r w:rsidR="00F15346">
              <w:t>d</w:t>
            </w:r>
            <w:r w:rsidR="00EE2F6F">
              <w:t xml:space="preserve">istrict J2 moves from Guildford North into Guildford West. This would address the electoral inequality between the two </w:t>
            </w:r>
            <w:r w:rsidR="00F15346">
              <w:t>d</w:t>
            </w:r>
            <w:r w:rsidR="00EE2F6F">
              <w:t>ivisions</w:t>
            </w:r>
            <w:r w:rsidR="003034D8">
              <w:t>.</w:t>
            </w:r>
          </w:p>
          <w:p w14:paraId="51DA6270" w14:textId="77777777" w:rsidR="00230AD6" w:rsidRDefault="00230AD6" w:rsidP="009912A8">
            <w:pPr>
              <w:rPr>
                <w:highlight w:val="yellow"/>
              </w:rPr>
            </w:pPr>
          </w:p>
          <w:p w14:paraId="7917E952" w14:textId="75B1791A" w:rsidR="009912A8" w:rsidRDefault="009912A8" w:rsidP="009912A8">
            <w:pPr>
              <w:rPr>
                <w:highlight w:val="yellow"/>
              </w:rPr>
            </w:pPr>
            <w:r>
              <w:t xml:space="preserve">It also suggested that part of </w:t>
            </w:r>
            <w:r w:rsidR="00F15346">
              <w:t>p</w:t>
            </w:r>
            <w:r>
              <w:t xml:space="preserve">olling </w:t>
            </w:r>
            <w:r w:rsidR="00F15346">
              <w:t>d</w:t>
            </w:r>
            <w:r>
              <w:t>istrict L1 (</w:t>
            </w:r>
            <w:r w:rsidR="00266FF9">
              <w:t>south of and including Broad Street</w:t>
            </w:r>
            <w:r>
              <w:t>), moves from Worplesdon into Guildford. This change has been proposed by both local Members as making sense from a community identity perspective.</w:t>
            </w:r>
          </w:p>
          <w:p w14:paraId="021CAFB8" w14:textId="41FF4571" w:rsidR="00230AD6" w:rsidRPr="00E94BE8" w:rsidRDefault="00230AD6" w:rsidP="00230AD6">
            <w:pPr>
              <w:rPr>
                <w:highlight w:val="yellow"/>
              </w:rPr>
            </w:pPr>
          </w:p>
        </w:tc>
      </w:tr>
      <w:tr w:rsidR="00FC708C" w14:paraId="1DA2FC5C" w14:textId="77777777">
        <w:tc>
          <w:tcPr>
            <w:tcW w:w="3045" w:type="dxa"/>
          </w:tcPr>
          <w:p w14:paraId="570E1089" w14:textId="77777777" w:rsidR="00FC708C" w:rsidRPr="00771FC6" w:rsidRDefault="00FC708C" w:rsidP="00FC708C">
            <w:pPr>
              <w:spacing w:before="240"/>
              <w:jc w:val="center"/>
              <w:rPr>
                <w:b/>
                <w:bCs/>
              </w:rPr>
            </w:pPr>
            <w:r w:rsidRPr="00771FC6">
              <w:rPr>
                <w:b/>
                <w:bCs/>
              </w:rPr>
              <w:t>Horsleys</w:t>
            </w:r>
          </w:p>
        </w:tc>
        <w:tc>
          <w:tcPr>
            <w:tcW w:w="1321" w:type="dxa"/>
            <w:vAlign w:val="center"/>
          </w:tcPr>
          <w:p w14:paraId="519D3A60" w14:textId="3FC3A3D7" w:rsidR="00FC708C" w:rsidRPr="00E94BE8" w:rsidRDefault="00FC708C" w:rsidP="00FC708C">
            <w:pPr>
              <w:spacing w:before="240"/>
              <w:jc w:val="center"/>
              <w:rPr>
                <w:highlight w:val="yellow"/>
              </w:rPr>
            </w:pPr>
            <w:r w:rsidRPr="008C6FDC">
              <w:rPr>
                <w:rFonts w:cs="Arial"/>
              </w:rPr>
              <w:t>12,921</w:t>
            </w:r>
          </w:p>
        </w:tc>
        <w:tc>
          <w:tcPr>
            <w:tcW w:w="1280" w:type="dxa"/>
            <w:vAlign w:val="center"/>
          </w:tcPr>
          <w:p w14:paraId="17D55037" w14:textId="49FF46F4" w:rsidR="00FC708C" w:rsidRPr="00E94BE8" w:rsidRDefault="00FC708C" w:rsidP="00FC708C">
            <w:pPr>
              <w:spacing w:before="240"/>
              <w:jc w:val="center"/>
              <w:rPr>
                <w:highlight w:val="yellow"/>
              </w:rPr>
            </w:pPr>
            <w:r w:rsidRPr="009765F9">
              <w:rPr>
                <w:rFonts w:cs="Arial"/>
              </w:rPr>
              <w:t>8%</w:t>
            </w:r>
          </w:p>
        </w:tc>
        <w:tc>
          <w:tcPr>
            <w:tcW w:w="9233" w:type="dxa"/>
          </w:tcPr>
          <w:p w14:paraId="7275BB5E" w14:textId="77777777" w:rsidR="00FC708C" w:rsidRPr="002C6C5E" w:rsidRDefault="00FC708C" w:rsidP="00FC708C">
            <w:pPr>
              <w:pStyle w:val="BodyText2"/>
            </w:pPr>
          </w:p>
          <w:p w14:paraId="5FA0B5DE" w14:textId="284FDFEA" w:rsidR="004D7543" w:rsidRPr="002C6C5E" w:rsidRDefault="004D7543" w:rsidP="00FC708C">
            <w:pPr>
              <w:pStyle w:val="BodyText2"/>
            </w:pPr>
            <w:r w:rsidRPr="002C6C5E">
              <w:t xml:space="preserve">There are no suggested changes to this </w:t>
            </w:r>
            <w:r w:rsidR="00266FF9">
              <w:t>d</w:t>
            </w:r>
            <w:r w:rsidRPr="002C6C5E">
              <w:t>ivision.</w:t>
            </w:r>
          </w:p>
          <w:p w14:paraId="1B205932" w14:textId="77777777" w:rsidR="004D7543" w:rsidRPr="002C6C5E" w:rsidRDefault="004D7543" w:rsidP="00FC708C">
            <w:pPr>
              <w:pStyle w:val="BodyText2"/>
            </w:pPr>
          </w:p>
          <w:p w14:paraId="214CBC51" w14:textId="1620A139" w:rsidR="00FC708C" w:rsidRPr="002C6C5E" w:rsidRDefault="004D7543" w:rsidP="00FC708C">
            <w:pPr>
              <w:pStyle w:val="BodyText2"/>
              <w:rPr>
                <w:szCs w:val="22"/>
              </w:rPr>
            </w:pPr>
            <w:r w:rsidRPr="002C6C5E">
              <w:rPr>
                <w:szCs w:val="22"/>
              </w:rPr>
              <w:t>T</w:t>
            </w:r>
            <w:r w:rsidR="00FC708C" w:rsidRPr="002C6C5E">
              <w:rPr>
                <w:szCs w:val="22"/>
              </w:rPr>
              <w:t xml:space="preserve">he </w:t>
            </w:r>
            <w:r w:rsidR="00266FF9">
              <w:rPr>
                <w:szCs w:val="22"/>
              </w:rPr>
              <w:t>d</w:t>
            </w:r>
            <w:r w:rsidR="00FC708C" w:rsidRPr="002C6C5E">
              <w:rPr>
                <w:szCs w:val="22"/>
              </w:rPr>
              <w:t>ivision of the Horsleys include</w:t>
            </w:r>
            <w:r w:rsidRPr="002C6C5E">
              <w:rPr>
                <w:szCs w:val="22"/>
              </w:rPr>
              <w:t>s the</w:t>
            </w:r>
            <w:r w:rsidR="00FC708C" w:rsidRPr="002C6C5E">
              <w:rPr>
                <w:szCs w:val="22"/>
              </w:rPr>
              <w:t xml:space="preserve"> parishes of East Clandon, Ripley, Ockham, West Horsley, East Horsley and Effingham.  </w:t>
            </w:r>
          </w:p>
          <w:p w14:paraId="17E1254D" w14:textId="77777777" w:rsidR="00FC708C" w:rsidRPr="002C6C5E" w:rsidRDefault="00FC708C" w:rsidP="00FC708C">
            <w:pPr>
              <w:pStyle w:val="BodyText2"/>
              <w:rPr>
                <w:szCs w:val="22"/>
              </w:rPr>
            </w:pPr>
          </w:p>
          <w:p w14:paraId="3360C574" w14:textId="32887D10" w:rsidR="00FC708C" w:rsidRPr="002C6C5E" w:rsidRDefault="00FC708C" w:rsidP="00FC708C">
            <w:pPr>
              <w:rPr>
                <w:rFonts w:cs="Arial"/>
                <w:szCs w:val="22"/>
                <w:lang w:val="en-US"/>
              </w:rPr>
            </w:pPr>
            <w:r w:rsidRPr="002C6C5E">
              <w:rPr>
                <w:rFonts w:cs="Arial"/>
                <w:szCs w:val="22"/>
                <w:lang w:val="en-US"/>
              </w:rPr>
              <w:t xml:space="preserve">The </w:t>
            </w:r>
            <w:r w:rsidR="00266FF9">
              <w:rPr>
                <w:rFonts w:cs="Arial"/>
                <w:szCs w:val="22"/>
                <w:lang w:val="en-US"/>
              </w:rPr>
              <w:t>d</w:t>
            </w:r>
            <w:r w:rsidRPr="002C6C5E">
              <w:rPr>
                <w:rFonts w:cs="Arial"/>
                <w:szCs w:val="22"/>
                <w:lang w:val="en-US"/>
              </w:rPr>
              <w:t xml:space="preserve">ivision is situated in the north-west section of Guildford Borough and is bounded by the Boroughs/Districts of Woking, Elmbridge, and Mole Valley. The M25 runs along this northerly edge which forms a </w:t>
            </w:r>
            <w:r w:rsidRPr="002C6C5E">
              <w:rPr>
                <w:rFonts w:cs="Arial"/>
                <w:szCs w:val="22"/>
              </w:rPr>
              <w:t>natural</w:t>
            </w:r>
            <w:r w:rsidRPr="002C6C5E">
              <w:rPr>
                <w:rFonts w:cs="Arial"/>
                <w:szCs w:val="22"/>
                <w:lang w:val="en-US"/>
              </w:rPr>
              <w:t xml:space="preserve"> break with the Boroughs and Districts mentioned above.</w:t>
            </w:r>
          </w:p>
          <w:p w14:paraId="2283BBC0" w14:textId="77777777" w:rsidR="00FC708C" w:rsidRPr="002C6C5E" w:rsidRDefault="00FC708C" w:rsidP="00FC708C">
            <w:pPr>
              <w:rPr>
                <w:rFonts w:cs="Arial"/>
                <w:color w:val="000000"/>
                <w:szCs w:val="22"/>
                <w:lang w:val="en-US"/>
              </w:rPr>
            </w:pPr>
          </w:p>
          <w:p w14:paraId="32C6689A" w14:textId="29236CF2" w:rsidR="00FC708C" w:rsidRPr="002C6C5E" w:rsidRDefault="00FC708C" w:rsidP="00FC708C">
            <w:pPr>
              <w:rPr>
                <w:rFonts w:cs="Arial"/>
                <w:color w:val="000000"/>
                <w:szCs w:val="22"/>
                <w:lang w:val="en-US"/>
              </w:rPr>
            </w:pPr>
            <w:r w:rsidRPr="002C6C5E">
              <w:rPr>
                <w:rFonts w:cs="Arial"/>
                <w:color w:val="000000"/>
                <w:szCs w:val="22"/>
                <w:lang w:val="en-US"/>
              </w:rPr>
              <w:t xml:space="preserve">The longest border of the Horsley </w:t>
            </w:r>
            <w:r w:rsidR="00266FF9">
              <w:rPr>
                <w:rFonts w:cs="Arial"/>
                <w:color w:val="000000"/>
                <w:szCs w:val="22"/>
                <w:lang w:val="en-US"/>
              </w:rPr>
              <w:t>d</w:t>
            </w:r>
            <w:r w:rsidRPr="002C6C5E">
              <w:rPr>
                <w:rFonts w:cs="Arial"/>
                <w:color w:val="000000"/>
                <w:szCs w:val="22"/>
                <w:lang w:val="en-US"/>
              </w:rPr>
              <w:t xml:space="preserve">ivision is that which adjoins Shere, and this </w:t>
            </w:r>
            <w:r w:rsidR="00266FF9">
              <w:rPr>
                <w:rFonts w:cs="Arial"/>
                <w:color w:val="000000"/>
                <w:szCs w:val="22"/>
                <w:lang w:val="en-US"/>
              </w:rPr>
              <w:t>d</w:t>
            </w:r>
            <w:r w:rsidRPr="002C6C5E">
              <w:rPr>
                <w:rFonts w:cs="Arial"/>
                <w:color w:val="000000"/>
                <w:szCs w:val="22"/>
                <w:lang w:val="en-US"/>
              </w:rPr>
              <w:t>ivision covers the southern and western flanks of Horsley and precludes drawing electorate from any of the Guildford Borough Town divisions/wards.</w:t>
            </w:r>
          </w:p>
          <w:p w14:paraId="00A7AA1A" w14:textId="77777777" w:rsidR="00FC708C" w:rsidRPr="002C6C5E" w:rsidRDefault="00FC708C" w:rsidP="00FC708C">
            <w:pPr>
              <w:rPr>
                <w:rFonts w:cs="Arial"/>
                <w:color w:val="000000"/>
                <w:szCs w:val="22"/>
                <w:lang w:val="en-US"/>
              </w:rPr>
            </w:pPr>
            <w:r w:rsidRPr="002C6C5E">
              <w:rPr>
                <w:rFonts w:cs="Arial"/>
                <w:color w:val="000000"/>
                <w:szCs w:val="22"/>
                <w:lang w:val="en-US"/>
              </w:rPr>
              <w:t xml:space="preserve"> </w:t>
            </w:r>
          </w:p>
          <w:p w14:paraId="3B3545DE" w14:textId="048C2628" w:rsidR="00FC708C" w:rsidRPr="002C6C5E" w:rsidRDefault="00FC708C" w:rsidP="00FC708C">
            <w:pPr>
              <w:pStyle w:val="BodyText2"/>
              <w:rPr>
                <w:szCs w:val="22"/>
              </w:rPr>
            </w:pPr>
            <w:r w:rsidRPr="002C6C5E">
              <w:rPr>
                <w:szCs w:val="22"/>
                <w:lang w:val="en-US"/>
              </w:rPr>
              <w:t xml:space="preserve">East Clandon is a village on Ripley Road, which is an extension of the road which serves HM Prison Send, situated in the </w:t>
            </w:r>
            <w:r w:rsidR="00266FF9">
              <w:rPr>
                <w:szCs w:val="22"/>
                <w:lang w:val="en-US"/>
              </w:rPr>
              <w:t>d</w:t>
            </w:r>
            <w:r w:rsidRPr="002C6C5E">
              <w:rPr>
                <w:szCs w:val="22"/>
                <w:lang w:val="en-US"/>
              </w:rPr>
              <w:t xml:space="preserve">ivision of Horsley.  The A246 to the south makes a natural boundary and thereafter the boundary of the </w:t>
            </w:r>
            <w:r w:rsidR="00266FF9">
              <w:rPr>
                <w:szCs w:val="22"/>
                <w:lang w:val="en-US"/>
              </w:rPr>
              <w:t>d</w:t>
            </w:r>
            <w:r w:rsidRPr="002C6C5E">
              <w:rPr>
                <w:szCs w:val="22"/>
                <w:lang w:val="en-US"/>
              </w:rPr>
              <w:t>ivision of Shere resumes.</w:t>
            </w:r>
          </w:p>
          <w:p w14:paraId="05C625C0" w14:textId="77777777" w:rsidR="00FC708C" w:rsidRPr="002C6C5E" w:rsidRDefault="00FC708C" w:rsidP="00FC708C">
            <w:pPr>
              <w:pStyle w:val="BodyText2"/>
            </w:pPr>
          </w:p>
        </w:tc>
      </w:tr>
      <w:tr w:rsidR="00771FC6" w14:paraId="237B36E9" w14:textId="77777777">
        <w:tc>
          <w:tcPr>
            <w:tcW w:w="3045" w:type="dxa"/>
          </w:tcPr>
          <w:p w14:paraId="10B82573" w14:textId="77777777" w:rsidR="00771FC6" w:rsidRPr="00771FC6" w:rsidRDefault="00771FC6" w:rsidP="00771FC6">
            <w:pPr>
              <w:spacing w:before="240"/>
              <w:jc w:val="center"/>
              <w:rPr>
                <w:b/>
                <w:bCs/>
              </w:rPr>
            </w:pPr>
            <w:r w:rsidRPr="00771FC6">
              <w:rPr>
                <w:b/>
                <w:bCs/>
              </w:rPr>
              <w:t>Shalford</w:t>
            </w:r>
          </w:p>
        </w:tc>
        <w:tc>
          <w:tcPr>
            <w:tcW w:w="1321" w:type="dxa"/>
            <w:vAlign w:val="center"/>
          </w:tcPr>
          <w:p w14:paraId="03815FF5" w14:textId="53D89504" w:rsidR="00771FC6" w:rsidRPr="00E94BE8" w:rsidRDefault="00B308B4" w:rsidP="00771FC6">
            <w:pPr>
              <w:spacing w:before="240"/>
              <w:jc w:val="center"/>
              <w:rPr>
                <w:highlight w:val="yellow"/>
              </w:rPr>
            </w:pPr>
            <w:r w:rsidRPr="00B308B4">
              <w:t>1</w:t>
            </w:r>
            <w:r w:rsidR="00811D1C">
              <w:t>3,141</w:t>
            </w:r>
          </w:p>
        </w:tc>
        <w:tc>
          <w:tcPr>
            <w:tcW w:w="1280" w:type="dxa"/>
            <w:vAlign w:val="center"/>
          </w:tcPr>
          <w:p w14:paraId="154AEFCE" w14:textId="014FA0F2" w:rsidR="00771FC6" w:rsidRPr="00E94BE8" w:rsidRDefault="00076F98" w:rsidP="00771FC6">
            <w:pPr>
              <w:spacing w:before="240"/>
              <w:jc w:val="center"/>
              <w:rPr>
                <w:highlight w:val="yellow"/>
              </w:rPr>
            </w:pPr>
            <w:r w:rsidRPr="00076F98">
              <w:t>10%</w:t>
            </w:r>
          </w:p>
        </w:tc>
        <w:tc>
          <w:tcPr>
            <w:tcW w:w="9233" w:type="dxa"/>
          </w:tcPr>
          <w:p w14:paraId="4F48A40F" w14:textId="77777777" w:rsidR="00771FC6" w:rsidRPr="00076F98" w:rsidRDefault="00771FC6" w:rsidP="00771FC6"/>
          <w:p w14:paraId="30CAAD4A" w14:textId="1C3BD450" w:rsidR="00771FC6" w:rsidRPr="00076F98" w:rsidRDefault="00771FC6" w:rsidP="00771FC6">
            <w:r w:rsidRPr="00076F98">
              <w:t xml:space="preserve">The </w:t>
            </w:r>
            <w:r w:rsidR="00266FF9">
              <w:t>d</w:t>
            </w:r>
            <w:r w:rsidRPr="00076F98">
              <w:t xml:space="preserve">ivision of Shalford </w:t>
            </w:r>
            <w:r w:rsidR="002C6C5E" w:rsidRPr="00076F98">
              <w:t xml:space="preserve">currently </w:t>
            </w:r>
            <w:r w:rsidRPr="00076F98">
              <w:t xml:space="preserve">encompasses the seven parishes of Seale and Sands, Tongham, Wanborough, Puttenham, Shackleford, Compton, Artington and parts of Shalford and Ash Parishes.  </w:t>
            </w:r>
          </w:p>
          <w:p w14:paraId="3E6E0DD7" w14:textId="77777777" w:rsidR="00BE2F6B" w:rsidRPr="00076F98" w:rsidRDefault="00BE2F6B" w:rsidP="00771FC6"/>
          <w:p w14:paraId="2262343A" w14:textId="4B26DAE2" w:rsidR="00BE2F6B" w:rsidRPr="00076F98" w:rsidRDefault="00BE2F6B" w:rsidP="00771FC6">
            <w:r w:rsidRPr="00076F98">
              <w:t xml:space="preserve">A </w:t>
            </w:r>
            <w:r w:rsidR="00F80407" w:rsidRPr="00076F98">
              <w:t>number of housing</w:t>
            </w:r>
            <w:r w:rsidRPr="00076F98">
              <w:t xml:space="preserve"> development</w:t>
            </w:r>
            <w:r w:rsidR="00F80407" w:rsidRPr="00076F98">
              <w:t xml:space="preserve">s are </w:t>
            </w:r>
            <w:r w:rsidRPr="00076F98">
              <w:t xml:space="preserve">planned for Shalford and as a result </w:t>
            </w:r>
            <w:r w:rsidR="00C26B0A" w:rsidRPr="00076F98">
              <w:t xml:space="preserve">the </w:t>
            </w:r>
            <w:r w:rsidR="00266FF9">
              <w:t>d</w:t>
            </w:r>
            <w:r w:rsidR="00C26B0A" w:rsidRPr="00076F98">
              <w:t xml:space="preserve">ivision now has the biggest </w:t>
            </w:r>
            <w:r w:rsidR="00A06FA3">
              <w:t xml:space="preserve">projected </w:t>
            </w:r>
            <w:r w:rsidR="00C26B0A" w:rsidRPr="00076F98">
              <w:t xml:space="preserve">electoral variance in the </w:t>
            </w:r>
            <w:r w:rsidR="00E823CB">
              <w:t>c</w:t>
            </w:r>
            <w:r w:rsidR="00C26B0A" w:rsidRPr="00076F98">
              <w:t>ounty</w:t>
            </w:r>
            <w:r w:rsidR="00193DB7">
              <w:t xml:space="preserve"> at 32%.</w:t>
            </w:r>
          </w:p>
          <w:p w14:paraId="428F40BD" w14:textId="77777777" w:rsidR="00C26B0A" w:rsidRPr="00076F98" w:rsidRDefault="00C26B0A" w:rsidP="00771FC6"/>
          <w:p w14:paraId="2156D2D1" w14:textId="434F5577" w:rsidR="00C26B0A" w:rsidRPr="00076F98" w:rsidRDefault="00C26B0A" w:rsidP="00C26B0A">
            <w:r w:rsidRPr="00076F98">
              <w:t>In order to address this</w:t>
            </w:r>
            <w:r w:rsidR="00A06FA3">
              <w:t xml:space="preserve"> variance</w:t>
            </w:r>
            <w:r w:rsidRPr="00076F98">
              <w:t xml:space="preserve">, it is suggested that the northern boundary is amended, so that </w:t>
            </w:r>
            <w:r w:rsidR="002829A4">
              <w:t>polling district R1</w:t>
            </w:r>
            <w:r w:rsidRPr="00076F98">
              <w:t>, part of the new Ash South ward</w:t>
            </w:r>
            <w:r w:rsidR="002829A4">
              <w:t xml:space="preserve">, moves into the Ash division. </w:t>
            </w:r>
            <w:r w:rsidRPr="00076F98">
              <w:t>This area has clear community links with the rest of Ash.</w:t>
            </w:r>
          </w:p>
          <w:p w14:paraId="274A20E3" w14:textId="77777777" w:rsidR="00C26B0A" w:rsidRPr="00076F98" w:rsidRDefault="00C26B0A" w:rsidP="00C26B0A"/>
          <w:p w14:paraId="5F37726D" w14:textId="4C1E493E" w:rsidR="00C26B0A" w:rsidRPr="00076F98" w:rsidRDefault="00C26B0A" w:rsidP="00C26B0A">
            <w:r w:rsidRPr="00076F98">
              <w:t>It is also suggested that the Parish of Wan</w:t>
            </w:r>
            <w:r w:rsidR="00076F98">
              <w:t>s</w:t>
            </w:r>
            <w:r w:rsidRPr="00076F98">
              <w:t xml:space="preserve">borough is moved into Worplesdon </w:t>
            </w:r>
            <w:r w:rsidR="00264560">
              <w:t>d</w:t>
            </w:r>
            <w:r w:rsidRPr="00076F98">
              <w:t>ivision</w:t>
            </w:r>
            <w:r w:rsidR="00076F98" w:rsidRPr="00076F98">
              <w:t>. The combination of these two moves would bring Shalford’s electoral variance into tolerance at 10%. The rest of the northern boundary remains unchanged.</w:t>
            </w:r>
          </w:p>
          <w:p w14:paraId="6B98E81E" w14:textId="77777777" w:rsidR="002C6C5E" w:rsidRPr="00076F98" w:rsidRDefault="002C6C5E" w:rsidP="00771FC6"/>
          <w:p w14:paraId="6D826E0B" w14:textId="3543AB43" w:rsidR="00771FC6" w:rsidRPr="00076F98" w:rsidRDefault="00771FC6" w:rsidP="00771FC6">
            <w:r w:rsidRPr="00076F98">
              <w:t xml:space="preserve">The southern boundary of Shalford Division is defined by the border with Waverley, with the western boundary following the County Border.  </w:t>
            </w:r>
          </w:p>
          <w:p w14:paraId="70AC0243" w14:textId="77777777" w:rsidR="00B83107" w:rsidRPr="00076F98" w:rsidRDefault="00B83107" w:rsidP="00771FC6"/>
          <w:p w14:paraId="728CD183" w14:textId="61C57F28" w:rsidR="00771FC6" w:rsidRPr="00076F98" w:rsidRDefault="00771FC6" w:rsidP="00771FC6">
            <w:r w:rsidRPr="00076F98">
              <w:t xml:space="preserve">To the east, the boundary follows the Normandy Parish line until it meets the railway, following the railway northwest to the A323, then west (Church Road into Ash Street onto Aldershot Road) until it meets the A331 and the County Border again.  </w:t>
            </w:r>
          </w:p>
          <w:p w14:paraId="1F4E8CC5" w14:textId="77777777" w:rsidR="00771FC6" w:rsidRPr="00E94BE8" w:rsidRDefault="00771FC6" w:rsidP="00771FC6">
            <w:pPr>
              <w:rPr>
                <w:highlight w:val="yellow"/>
              </w:rPr>
            </w:pPr>
          </w:p>
        </w:tc>
      </w:tr>
      <w:tr w:rsidR="00771FC6" w14:paraId="34F010CC" w14:textId="77777777">
        <w:tc>
          <w:tcPr>
            <w:tcW w:w="3045" w:type="dxa"/>
          </w:tcPr>
          <w:p w14:paraId="48F65E36" w14:textId="77777777" w:rsidR="00771FC6" w:rsidRPr="00795761" w:rsidRDefault="00771FC6" w:rsidP="00771FC6">
            <w:pPr>
              <w:spacing w:before="240"/>
              <w:jc w:val="center"/>
              <w:rPr>
                <w:b/>
                <w:bCs/>
              </w:rPr>
            </w:pPr>
            <w:r w:rsidRPr="00795761">
              <w:rPr>
                <w:b/>
                <w:bCs/>
              </w:rPr>
              <w:t>Shere</w:t>
            </w:r>
          </w:p>
        </w:tc>
        <w:tc>
          <w:tcPr>
            <w:tcW w:w="1321" w:type="dxa"/>
            <w:vAlign w:val="center"/>
          </w:tcPr>
          <w:p w14:paraId="2E892817" w14:textId="75D586A4" w:rsidR="00771FC6" w:rsidRPr="00795761" w:rsidRDefault="00771FC6" w:rsidP="00771FC6">
            <w:pPr>
              <w:spacing w:before="240"/>
              <w:jc w:val="center"/>
            </w:pPr>
            <w:r w:rsidRPr="00795761">
              <w:rPr>
                <w:rFonts w:cs="Arial"/>
              </w:rPr>
              <w:t>12,198</w:t>
            </w:r>
          </w:p>
        </w:tc>
        <w:tc>
          <w:tcPr>
            <w:tcW w:w="1280" w:type="dxa"/>
            <w:vAlign w:val="center"/>
          </w:tcPr>
          <w:p w14:paraId="5ED3D877" w14:textId="2F1D5D0F" w:rsidR="00771FC6" w:rsidRPr="00795761" w:rsidRDefault="00771FC6" w:rsidP="00771FC6">
            <w:pPr>
              <w:spacing w:before="240"/>
              <w:jc w:val="center"/>
            </w:pPr>
            <w:r w:rsidRPr="00795761">
              <w:rPr>
                <w:rFonts w:cs="Arial"/>
              </w:rPr>
              <w:t>2%</w:t>
            </w:r>
          </w:p>
        </w:tc>
        <w:tc>
          <w:tcPr>
            <w:tcW w:w="9233" w:type="dxa"/>
          </w:tcPr>
          <w:p w14:paraId="06CAA5E7" w14:textId="77777777" w:rsidR="00771FC6" w:rsidRPr="00795761" w:rsidRDefault="00771FC6" w:rsidP="00771FC6">
            <w:pPr>
              <w:pStyle w:val="BodyText2"/>
            </w:pPr>
          </w:p>
          <w:p w14:paraId="0EB4ABEE" w14:textId="456CC1FE" w:rsidR="00771FC6" w:rsidRPr="00795761" w:rsidRDefault="0096537C" w:rsidP="00771FC6">
            <w:pPr>
              <w:pStyle w:val="BodyText2"/>
            </w:pPr>
            <w:r w:rsidRPr="00795761">
              <w:t xml:space="preserve">There are no suggested changes to this </w:t>
            </w:r>
            <w:r w:rsidR="008F241E">
              <w:t>d</w:t>
            </w:r>
            <w:r w:rsidRPr="00795761">
              <w:t>ivision.</w:t>
            </w:r>
          </w:p>
          <w:p w14:paraId="79034226" w14:textId="77777777" w:rsidR="0096537C" w:rsidRPr="00795761" w:rsidRDefault="0096537C" w:rsidP="00771FC6">
            <w:pPr>
              <w:pStyle w:val="BodyText2"/>
            </w:pPr>
          </w:p>
          <w:p w14:paraId="44349028" w14:textId="57E4ACEE" w:rsidR="00771FC6" w:rsidRPr="00795761" w:rsidRDefault="0096537C" w:rsidP="00771FC6">
            <w:pPr>
              <w:pStyle w:val="BodyText2"/>
            </w:pPr>
            <w:r w:rsidRPr="00795761">
              <w:t xml:space="preserve">The </w:t>
            </w:r>
            <w:r w:rsidR="008F241E">
              <w:t>d</w:t>
            </w:r>
            <w:r w:rsidR="00771FC6" w:rsidRPr="00795761">
              <w:t xml:space="preserve">ivision of Shere </w:t>
            </w:r>
            <w:r w:rsidR="002B6A37" w:rsidRPr="00795761">
              <w:t>includes</w:t>
            </w:r>
            <w:r w:rsidR="00771FC6" w:rsidRPr="00795761">
              <w:t xml:space="preserve"> the parishes of St Martha, Albury, Shere, West Clandon and Send.  </w:t>
            </w:r>
          </w:p>
          <w:p w14:paraId="07E4EE4F" w14:textId="77777777" w:rsidR="00771FC6" w:rsidRPr="00795761" w:rsidRDefault="00771FC6" w:rsidP="00771FC6">
            <w:pPr>
              <w:pStyle w:val="BodyText2"/>
            </w:pPr>
          </w:p>
          <w:p w14:paraId="7496F83B" w14:textId="5F6A1728" w:rsidR="00771FC6" w:rsidRPr="00795761" w:rsidRDefault="00771FC6" w:rsidP="00771FC6">
            <w:pPr>
              <w:rPr>
                <w:i/>
                <w:iCs/>
              </w:rPr>
            </w:pPr>
            <w:r w:rsidRPr="00795761">
              <w:t xml:space="preserve">In the far west corner, the </w:t>
            </w:r>
            <w:r w:rsidR="008F241E">
              <w:t>d</w:t>
            </w:r>
            <w:r w:rsidRPr="00795761">
              <w:t xml:space="preserve">ivision borders the </w:t>
            </w:r>
            <w:r w:rsidR="008F241E">
              <w:t>d</w:t>
            </w:r>
            <w:r w:rsidRPr="00795761">
              <w:t xml:space="preserve">ivision of Shalford, with Chilworth included in this </w:t>
            </w:r>
            <w:r w:rsidR="008F241E">
              <w:t>d</w:t>
            </w:r>
            <w:r w:rsidRPr="00795761">
              <w:t>ivision, as it is a distinct community in its own right</w:t>
            </w:r>
            <w:r w:rsidR="002B6A37" w:rsidRPr="00795761">
              <w:t>.</w:t>
            </w:r>
          </w:p>
          <w:p w14:paraId="5EBDDDBA" w14:textId="77777777" w:rsidR="00771FC6" w:rsidRPr="00795761" w:rsidRDefault="00771FC6" w:rsidP="00771FC6">
            <w:pPr>
              <w:pStyle w:val="BodyText2"/>
            </w:pPr>
          </w:p>
        </w:tc>
      </w:tr>
      <w:tr w:rsidR="00771FC6" w14:paraId="304647DE" w14:textId="77777777">
        <w:tc>
          <w:tcPr>
            <w:tcW w:w="3045" w:type="dxa"/>
          </w:tcPr>
          <w:p w14:paraId="78C12EFC" w14:textId="77777777" w:rsidR="00771FC6" w:rsidRPr="00771FC6" w:rsidRDefault="00771FC6" w:rsidP="00771FC6">
            <w:pPr>
              <w:spacing w:before="240"/>
              <w:jc w:val="center"/>
              <w:rPr>
                <w:b/>
                <w:bCs/>
              </w:rPr>
            </w:pPr>
            <w:r w:rsidRPr="00771FC6">
              <w:rPr>
                <w:b/>
                <w:bCs/>
              </w:rPr>
              <w:t>Worplesdon</w:t>
            </w:r>
          </w:p>
        </w:tc>
        <w:tc>
          <w:tcPr>
            <w:tcW w:w="1321" w:type="dxa"/>
            <w:vAlign w:val="center"/>
          </w:tcPr>
          <w:p w14:paraId="26346153" w14:textId="2D7679CC" w:rsidR="00771FC6" w:rsidRPr="004010CA" w:rsidRDefault="00771FC6" w:rsidP="00771FC6">
            <w:pPr>
              <w:spacing w:before="240"/>
              <w:jc w:val="center"/>
            </w:pPr>
            <w:r w:rsidRPr="004010CA">
              <w:rPr>
                <w:rFonts w:cs="Arial"/>
              </w:rPr>
              <w:t>11,826</w:t>
            </w:r>
          </w:p>
        </w:tc>
        <w:tc>
          <w:tcPr>
            <w:tcW w:w="1280" w:type="dxa"/>
            <w:vAlign w:val="center"/>
          </w:tcPr>
          <w:p w14:paraId="428676A8" w14:textId="4F237B75" w:rsidR="00771FC6" w:rsidRPr="00E94BE8" w:rsidRDefault="003A2DED" w:rsidP="00771FC6">
            <w:pPr>
              <w:spacing w:before="240"/>
              <w:jc w:val="center"/>
              <w:rPr>
                <w:highlight w:val="yellow"/>
              </w:rPr>
            </w:pPr>
            <w:r w:rsidRPr="004010CA">
              <w:t>-7%</w:t>
            </w:r>
          </w:p>
        </w:tc>
        <w:tc>
          <w:tcPr>
            <w:tcW w:w="9233" w:type="dxa"/>
          </w:tcPr>
          <w:p w14:paraId="28A9E424" w14:textId="77777777" w:rsidR="00771FC6" w:rsidRPr="00E94BE8" w:rsidRDefault="00771FC6" w:rsidP="00771FC6">
            <w:pPr>
              <w:rPr>
                <w:highlight w:val="yellow"/>
              </w:rPr>
            </w:pPr>
          </w:p>
          <w:p w14:paraId="18A2025C" w14:textId="015DC805" w:rsidR="00771FC6" w:rsidRPr="00D858F1" w:rsidRDefault="00771FC6" w:rsidP="00771FC6">
            <w:r w:rsidRPr="00D858F1">
              <w:t xml:space="preserve">The </w:t>
            </w:r>
            <w:r w:rsidR="008F241E">
              <w:t>d</w:t>
            </w:r>
            <w:r w:rsidRPr="00D858F1">
              <w:t xml:space="preserve">ivision of Worplesdon </w:t>
            </w:r>
            <w:r w:rsidR="000F1235" w:rsidRPr="00D858F1">
              <w:t xml:space="preserve">currently includes the </w:t>
            </w:r>
            <w:r w:rsidRPr="00D858F1">
              <w:t xml:space="preserve">three parishes of Pirbright, Normandy and Worplesdon, with its border following the parish boundary lines.  </w:t>
            </w:r>
          </w:p>
          <w:p w14:paraId="1A414FA0" w14:textId="77777777" w:rsidR="00771FC6" w:rsidRPr="00D858F1" w:rsidRDefault="00771FC6" w:rsidP="00771FC6"/>
          <w:p w14:paraId="56987C8C" w14:textId="77777777" w:rsidR="00771FC6" w:rsidRDefault="00771FC6" w:rsidP="00771FC6">
            <w:r w:rsidRPr="00D858F1">
              <w:t xml:space="preserve">All three Parish Councils are active with strong individual identities.  </w:t>
            </w:r>
          </w:p>
          <w:p w14:paraId="32EEF561" w14:textId="77777777" w:rsidR="00771FC6" w:rsidRDefault="00771FC6" w:rsidP="00771FC6">
            <w:pPr>
              <w:rPr>
                <w:b/>
                <w:bCs/>
                <w:i/>
                <w:iCs/>
              </w:rPr>
            </w:pPr>
          </w:p>
          <w:p w14:paraId="14486102" w14:textId="3AB34CB9" w:rsidR="00771FC6" w:rsidRDefault="00771FC6" w:rsidP="00771FC6">
            <w:r>
              <w:t>There are two suggested changes to this division. Firstly</w:t>
            </w:r>
            <w:r w:rsidR="000F1235">
              <w:t>,</w:t>
            </w:r>
            <w:r>
              <w:t xml:space="preserve"> it is suggested that the </w:t>
            </w:r>
            <w:r w:rsidR="000F1235">
              <w:t>P</w:t>
            </w:r>
            <w:r>
              <w:t>arish of Wansborough (</w:t>
            </w:r>
            <w:r w:rsidR="004779E9">
              <w:t>p</w:t>
            </w:r>
            <w:r>
              <w:t xml:space="preserve">olling </w:t>
            </w:r>
            <w:r w:rsidR="004779E9">
              <w:t>d</w:t>
            </w:r>
            <w:r>
              <w:t>istrict G5) be moved from Shalford into Worples</w:t>
            </w:r>
            <w:r w:rsidR="00CA62B0">
              <w:t>d</w:t>
            </w:r>
            <w:r>
              <w:t>on. This would help address the large electoral variance in the current Shalford Division.</w:t>
            </w:r>
          </w:p>
          <w:p w14:paraId="37BE4A3E" w14:textId="77777777" w:rsidR="00771FC6" w:rsidRDefault="00771FC6" w:rsidP="00771FC6"/>
          <w:p w14:paraId="1A32EF10" w14:textId="5BAA3C9F" w:rsidR="00771FC6" w:rsidRDefault="00771FC6" w:rsidP="00771FC6">
            <w:r>
              <w:t xml:space="preserve">Secondly, it is also suggested that the boundary of the division at the </w:t>
            </w:r>
            <w:r w:rsidR="004779E9">
              <w:t>e</w:t>
            </w:r>
            <w:r>
              <w:t xml:space="preserve">astern side of Worplesden Parish is amended, so that part of Polling District L1 (from </w:t>
            </w:r>
            <w:r w:rsidR="004779E9">
              <w:t xml:space="preserve">including and south of </w:t>
            </w:r>
            <w:r>
              <w:t xml:space="preserve">Broad Street), moves from Worplesdon into Guildford. This change has been proposed by both local Members as making sense from a community identity perspective. </w:t>
            </w:r>
          </w:p>
          <w:p w14:paraId="2F09F7AE" w14:textId="77777777" w:rsidR="00771FC6" w:rsidRDefault="00771FC6" w:rsidP="00771FC6"/>
          <w:p w14:paraId="2C6F90E6" w14:textId="77777777" w:rsidR="00771FC6" w:rsidRPr="00A36133" w:rsidRDefault="00771FC6" w:rsidP="00771FC6">
            <w:r>
              <w:t xml:space="preserve">The combination of both the changes listed above would move Worplesdon to -7% electoral variance. </w:t>
            </w:r>
          </w:p>
          <w:p w14:paraId="4F16945B" w14:textId="77777777" w:rsidR="00771FC6" w:rsidRPr="00E94BE8" w:rsidRDefault="00771FC6" w:rsidP="00771FC6">
            <w:pPr>
              <w:rPr>
                <w:b/>
                <w:bCs/>
                <w:i/>
                <w:iCs/>
                <w:highlight w:val="yellow"/>
              </w:rPr>
            </w:pPr>
          </w:p>
        </w:tc>
      </w:tr>
    </w:tbl>
    <w:p w14:paraId="133FDD34" w14:textId="77777777" w:rsidR="008256AD" w:rsidRDefault="008256AD"/>
    <w:p w14:paraId="1415C74B" w14:textId="77777777" w:rsidR="008256AD" w:rsidRDefault="008256AD"/>
    <w:p w14:paraId="228B52F4" w14:textId="77777777" w:rsidR="008256AD" w:rsidRDefault="008256AD"/>
    <w:p w14:paraId="55FA11C9" w14:textId="77777777" w:rsidR="008256AD" w:rsidRDefault="008256AD"/>
    <w:p w14:paraId="7589403B" w14:textId="77777777" w:rsidR="008256AD" w:rsidRDefault="008256AD"/>
    <w:p w14:paraId="2D720D13" w14:textId="77777777" w:rsidR="008256AD" w:rsidRDefault="008256AD">
      <w:pPr>
        <w:pStyle w:val="Heading1"/>
        <w:numPr>
          <w:ilvl w:val="0"/>
          <w:numId w:val="0"/>
        </w:numPr>
      </w:pPr>
      <w:r>
        <w:br w:type="page"/>
        <w:t>Mole Valley</w:t>
      </w:r>
    </w:p>
    <w:p w14:paraId="0B6C4C46" w14:textId="77777777" w:rsidR="008256AD" w:rsidRDefault="008256AD"/>
    <w:p w14:paraId="549EACED" w14:textId="6A1716A0" w:rsidR="008256AD" w:rsidRDefault="00880D84">
      <w:r w:rsidRPr="00880D84">
        <w:t>For Mole Valley, the proposal is for six divisions representing an electorate of 76,015. This would equate to an average electorate size for each division of 12,669.</w:t>
      </w:r>
    </w:p>
    <w:p w14:paraId="17DA17EB" w14:textId="24D458F5" w:rsidR="006A7721" w:rsidRDefault="006A7721"/>
    <w:p w14:paraId="01656688" w14:textId="28217780" w:rsidR="006A7721" w:rsidRDefault="006A7721">
      <w:r>
        <w:t xml:space="preserve">Two options have been put forward </w:t>
      </w:r>
      <w:r w:rsidR="0078639F">
        <w:t>for Mole Valley. Both options agree on the proposals for Ashtead</w:t>
      </w:r>
      <w:r w:rsidR="00F241F1">
        <w:t xml:space="preserve"> and Dorking Town</w:t>
      </w:r>
      <w:r w:rsidR="0078639F" w:rsidRPr="003B0010">
        <w:t>. However, there are differences of opinion</w:t>
      </w:r>
      <w:r w:rsidR="00292500" w:rsidRPr="003B0010">
        <w:t xml:space="preserve"> on the </w:t>
      </w:r>
      <w:r w:rsidR="00F241F1" w:rsidRPr="003B0010">
        <w:t>make-up of the other</w:t>
      </w:r>
      <w:r w:rsidR="00292500" w:rsidRPr="003B0010">
        <w:t xml:space="preserve"> </w:t>
      </w:r>
      <w:r w:rsidR="0055505E" w:rsidRPr="003B0010">
        <w:t>d</w:t>
      </w:r>
      <w:r w:rsidR="00292500" w:rsidRPr="003B0010">
        <w:t>ivisions</w:t>
      </w:r>
      <w:r w:rsidR="0055505E" w:rsidRPr="003B0010">
        <w:t xml:space="preserve"> within the district.</w:t>
      </w:r>
      <w:r w:rsidR="00292500" w:rsidRPr="003B0010">
        <w:t xml:space="preserve"> The</w:t>
      </w:r>
      <w:r w:rsidR="00F241F1" w:rsidRPr="003B0010">
        <w:t xml:space="preserve"> task group</w:t>
      </w:r>
      <w:r w:rsidR="00292500" w:rsidRPr="003B0010">
        <w:t xml:space="preserve"> felt </w:t>
      </w:r>
      <w:r w:rsidR="00F241F1" w:rsidRPr="003B0010">
        <w:t xml:space="preserve">that </w:t>
      </w:r>
      <w:r w:rsidR="00292500" w:rsidRPr="003B0010">
        <w:t>both options</w:t>
      </w:r>
      <w:r w:rsidR="00F241F1" w:rsidRPr="003B0010">
        <w:t xml:space="preserve"> met the Commission’s criteria</w:t>
      </w:r>
      <w:r w:rsidR="00292500" w:rsidRPr="003B0010">
        <w:t xml:space="preserve"> and </w:t>
      </w:r>
      <w:r w:rsidR="00F241F1" w:rsidRPr="003B0010">
        <w:t>therefore</w:t>
      </w:r>
      <w:r w:rsidR="00F241F1">
        <w:t xml:space="preserve"> </w:t>
      </w:r>
      <w:r w:rsidR="00292500">
        <w:t xml:space="preserve">agreed to propose both to the Commission. </w:t>
      </w:r>
      <w:r w:rsidR="00094D97">
        <w:t xml:space="preserve"> Detailed maps for both </w:t>
      </w:r>
      <w:r w:rsidR="00835A94">
        <w:t>options</w:t>
      </w:r>
      <w:r w:rsidR="00094D97">
        <w:t xml:space="preserve"> are included in the appendix. </w:t>
      </w:r>
    </w:p>
    <w:p w14:paraId="665CF249" w14:textId="77777777" w:rsidR="008256AD" w:rsidRDefault="008256AD"/>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233"/>
      </w:tblGrid>
      <w:tr w:rsidR="00945A98" w14:paraId="56FF42E1" w14:textId="77777777" w:rsidTr="00945A98">
        <w:tc>
          <w:tcPr>
            <w:tcW w:w="3045" w:type="dxa"/>
          </w:tcPr>
          <w:p w14:paraId="16C7D3D5" w14:textId="77777777" w:rsidR="00945A98" w:rsidRDefault="00945A98">
            <w:pPr>
              <w:pStyle w:val="Heading4"/>
              <w:numPr>
                <w:ilvl w:val="0"/>
                <w:numId w:val="0"/>
              </w:numPr>
              <w:spacing w:before="120"/>
              <w:jc w:val="center"/>
              <w:rPr>
                <w:b/>
                <w:bCs/>
                <w:i w:val="0"/>
                <w:iCs w:val="0"/>
              </w:rPr>
            </w:pPr>
            <w:r>
              <w:rPr>
                <w:b/>
                <w:bCs/>
                <w:i w:val="0"/>
                <w:iCs w:val="0"/>
              </w:rPr>
              <w:t>Division Name</w:t>
            </w:r>
          </w:p>
        </w:tc>
        <w:tc>
          <w:tcPr>
            <w:tcW w:w="1321" w:type="dxa"/>
          </w:tcPr>
          <w:p w14:paraId="0B1648C8" w14:textId="77777777" w:rsidR="00945A98" w:rsidRDefault="00945A98">
            <w:pPr>
              <w:spacing w:before="120"/>
              <w:jc w:val="center"/>
              <w:rPr>
                <w:b/>
                <w:bCs/>
              </w:rPr>
            </w:pPr>
            <w:r>
              <w:rPr>
                <w:b/>
                <w:bCs/>
              </w:rPr>
              <w:t>2029 Forecast Electorate</w:t>
            </w:r>
          </w:p>
        </w:tc>
        <w:tc>
          <w:tcPr>
            <w:tcW w:w="1280" w:type="dxa"/>
          </w:tcPr>
          <w:p w14:paraId="70F2CF2F" w14:textId="77777777" w:rsidR="00945A98" w:rsidRDefault="00945A98">
            <w:pPr>
              <w:spacing w:before="120"/>
              <w:jc w:val="center"/>
              <w:rPr>
                <w:b/>
                <w:bCs/>
              </w:rPr>
            </w:pPr>
            <w:r>
              <w:rPr>
                <w:b/>
                <w:bCs/>
              </w:rPr>
              <w:t>2029 Forecast Electorate Variance</w:t>
            </w:r>
          </w:p>
        </w:tc>
        <w:tc>
          <w:tcPr>
            <w:tcW w:w="9233" w:type="dxa"/>
          </w:tcPr>
          <w:p w14:paraId="4C50E8C9" w14:textId="77777777" w:rsidR="00945A98" w:rsidRDefault="00945A98">
            <w:pPr>
              <w:spacing w:before="120"/>
              <w:jc w:val="center"/>
              <w:rPr>
                <w:b/>
                <w:bCs/>
              </w:rPr>
            </w:pPr>
            <w:r>
              <w:rPr>
                <w:b/>
                <w:bCs/>
              </w:rPr>
              <w:t>Evidence and Rationale that the proposals meet the statutory criteria</w:t>
            </w:r>
          </w:p>
        </w:tc>
      </w:tr>
      <w:tr w:rsidR="00277EBF" w14:paraId="3EF01C3D" w14:textId="77777777">
        <w:tc>
          <w:tcPr>
            <w:tcW w:w="3045" w:type="dxa"/>
          </w:tcPr>
          <w:p w14:paraId="19B5A61B" w14:textId="77777777" w:rsidR="00277EBF" w:rsidRPr="00AA4824" w:rsidRDefault="00277EBF" w:rsidP="00277EBF">
            <w:pPr>
              <w:spacing w:before="240"/>
              <w:jc w:val="center"/>
              <w:rPr>
                <w:b/>
                <w:bCs/>
              </w:rPr>
            </w:pPr>
            <w:r w:rsidRPr="00AA4824">
              <w:rPr>
                <w:b/>
                <w:bCs/>
              </w:rPr>
              <w:t>Ashtead</w:t>
            </w:r>
          </w:p>
        </w:tc>
        <w:tc>
          <w:tcPr>
            <w:tcW w:w="1321" w:type="dxa"/>
            <w:vAlign w:val="center"/>
          </w:tcPr>
          <w:p w14:paraId="68B210A7" w14:textId="79630708" w:rsidR="00277EBF" w:rsidRDefault="00277EBF" w:rsidP="00277EBF">
            <w:pPr>
              <w:spacing w:before="240"/>
              <w:jc w:val="center"/>
            </w:pPr>
            <w:r>
              <w:rPr>
                <w:rFonts w:cs="Arial"/>
              </w:rPr>
              <w:t>12,250</w:t>
            </w:r>
          </w:p>
        </w:tc>
        <w:tc>
          <w:tcPr>
            <w:tcW w:w="1280" w:type="dxa"/>
            <w:vAlign w:val="center"/>
          </w:tcPr>
          <w:p w14:paraId="1235D560" w14:textId="2DBA154D" w:rsidR="00277EBF" w:rsidRDefault="00277EBF" w:rsidP="00277EBF">
            <w:pPr>
              <w:spacing w:before="240"/>
              <w:jc w:val="center"/>
            </w:pPr>
            <w:r>
              <w:rPr>
                <w:rFonts w:cs="Arial"/>
              </w:rPr>
              <w:t>3%</w:t>
            </w:r>
          </w:p>
        </w:tc>
        <w:tc>
          <w:tcPr>
            <w:tcW w:w="9233" w:type="dxa"/>
          </w:tcPr>
          <w:p w14:paraId="6F9D9F26" w14:textId="77777777" w:rsidR="00277EBF" w:rsidRDefault="00277EBF" w:rsidP="00277EBF">
            <w:pPr>
              <w:ind w:left="60"/>
            </w:pPr>
          </w:p>
          <w:p w14:paraId="6888909F" w14:textId="224D9448" w:rsidR="00275F6D" w:rsidRDefault="00275F6D" w:rsidP="00277EBF">
            <w:pPr>
              <w:pStyle w:val="BodyTextIndent"/>
              <w:ind w:left="0" w:firstLine="0"/>
            </w:pPr>
            <w:r>
              <w:t>The</w:t>
            </w:r>
            <w:r w:rsidR="005C5D76">
              <w:t>re was cross-party agreement from local Members that there should be</w:t>
            </w:r>
            <w:r>
              <w:t xml:space="preserve"> no suggested changed to this </w:t>
            </w:r>
            <w:r w:rsidR="005C5D76">
              <w:t>d</w:t>
            </w:r>
            <w:r>
              <w:t xml:space="preserve">ivision. </w:t>
            </w:r>
          </w:p>
          <w:p w14:paraId="4217A74D" w14:textId="77777777" w:rsidR="00275F6D" w:rsidRDefault="00275F6D" w:rsidP="00277EBF">
            <w:pPr>
              <w:pStyle w:val="BodyTextIndent"/>
              <w:ind w:left="0" w:firstLine="0"/>
            </w:pPr>
          </w:p>
          <w:p w14:paraId="0CEF61E7" w14:textId="11266CFE" w:rsidR="00277EBF" w:rsidRDefault="00277EBF" w:rsidP="00277EBF">
            <w:pPr>
              <w:pStyle w:val="BodyTextIndent"/>
              <w:ind w:left="0" w:firstLine="0"/>
            </w:pPr>
            <w:r>
              <w:t xml:space="preserve">The </w:t>
            </w:r>
            <w:r w:rsidR="005C5D76">
              <w:t>d</w:t>
            </w:r>
            <w:r>
              <w:t xml:space="preserve">ivision of Ashtead lies in the north-east corner of Mole Valley.  The boundary to the east follows the border with Epsom and Ewell while the north is the County Border.  The western boundary is defined by the main roads, firstly the A243 in the north, and then the M25 which divides Ashtead from the rest of the District.  The final section of the boundary in the southern corner follows the border with Headley Parish. </w:t>
            </w:r>
          </w:p>
          <w:p w14:paraId="22705172" w14:textId="77777777" w:rsidR="00E23100" w:rsidRDefault="00E23100" w:rsidP="00277EBF">
            <w:pPr>
              <w:pStyle w:val="BodyTextIndent"/>
              <w:ind w:left="0" w:firstLine="0"/>
            </w:pPr>
          </w:p>
          <w:p w14:paraId="568BA060" w14:textId="1A0FFC3F" w:rsidR="00277EBF" w:rsidRDefault="009E5FBD" w:rsidP="00952964">
            <w:pPr>
              <w:pStyle w:val="BodyTextIndent"/>
              <w:ind w:left="0" w:firstLine="0"/>
            </w:pPr>
            <w:r w:rsidRPr="00431A1B">
              <w:rPr>
                <w:color w:val="000000"/>
                <w:szCs w:val="22"/>
                <w:lang w:val="en-US"/>
              </w:rPr>
              <w:t>Ashtead is a discrete community to the north of the M25 with its own Residents' Association and railway Station. It is appropriate on community grounds for Ashtead to be a single division</w:t>
            </w:r>
            <w:r w:rsidR="00952964">
              <w:rPr>
                <w:color w:val="000000"/>
                <w:szCs w:val="22"/>
                <w:lang w:val="en-US"/>
              </w:rPr>
              <w:t>.</w:t>
            </w:r>
          </w:p>
          <w:p w14:paraId="69E630EE" w14:textId="77777777" w:rsidR="00277EBF" w:rsidRDefault="00277EBF" w:rsidP="00E23100">
            <w:pPr>
              <w:overflowPunct/>
              <w:textAlignment w:val="auto"/>
            </w:pPr>
          </w:p>
        </w:tc>
      </w:tr>
      <w:tr w:rsidR="00277EBF" w14:paraId="72DEFA1B" w14:textId="77777777">
        <w:tc>
          <w:tcPr>
            <w:tcW w:w="3045" w:type="dxa"/>
          </w:tcPr>
          <w:p w14:paraId="1C781AB7" w14:textId="77777777" w:rsidR="00277EBF" w:rsidRPr="00AA4824" w:rsidRDefault="00277EBF" w:rsidP="00277EBF">
            <w:pPr>
              <w:spacing w:before="240"/>
              <w:jc w:val="center"/>
              <w:rPr>
                <w:b/>
                <w:bCs/>
              </w:rPr>
            </w:pPr>
            <w:r w:rsidRPr="00AA4824">
              <w:rPr>
                <w:b/>
                <w:bCs/>
              </w:rPr>
              <w:t>Bookham and Fetcham West</w:t>
            </w:r>
          </w:p>
        </w:tc>
        <w:tc>
          <w:tcPr>
            <w:tcW w:w="1321" w:type="dxa"/>
            <w:vAlign w:val="center"/>
          </w:tcPr>
          <w:p w14:paraId="46A5AE0E" w14:textId="32E3F553" w:rsidR="00277EBF" w:rsidRPr="00440D32" w:rsidRDefault="00277EBF" w:rsidP="00277EBF">
            <w:pPr>
              <w:spacing w:before="240"/>
              <w:jc w:val="center"/>
              <w:rPr>
                <w:highlight w:val="yellow"/>
              </w:rPr>
            </w:pPr>
            <w:r w:rsidRPr="001677F4">
              <w:rPr>
                <w:rFonts w:cs="Arial"/>
              </w:rPr>
              <w:t>13,281</w:t>
            </w:r>
          </w:p>
        </w:tc>
        <w:tc>
          <w:tcPr>
            <w:tcW w:w="1280" w:type="dxa"/>
            <w:vAlign w:val="center"/>
          </w:tcPr>
          <w:p w14:paraId="5D13252D" w14:textId="0A4A9B0C" w:rsidR="00277EBF" w:rsidRPr="00440D32" w:rsidRDefault="00277EBF" w:rsidP="00277EBF">
            <w:pPr>
              <w:spacing w:before="240"/>
              <w:jc w:val="center"/>
              <w:rPr>
                <w:highlight w:val="yellow"/>
              </w:rPr>
            </w:pPr>
            <w:r w:rsidRPr="00FE7C8E">
              <w:rPr>
                <w:rFonts w:cs="Arial"/>
              </w:rPr>
              <w:t>1</w:t>
            </w:r>
            <w:r w:rsidR="001C04C8">
              <w:rPr>
                <w:rFonts w:cs="Arial"/>
              </w:rPr>
              <w:t>2</w:t>
            </w:r>
            <w:r w:rsidRPr="00FE7C8E">
              <w:rPr>
                <w:rFonts w:cs="Arial"/>
              </w:rPr>
              <w:t>%</w:t>
            </w:r>
          </w:p>
        </w:tc>
        <w:tc>
          <w:tcPr>
            <w:tcW w:w="9233" w:type="dxa"/>
          </w:tcPr>
          <w:p w14:paraId="2F28F96D" w14:textId="77777777" w:rsidR="00277EBF" w:rsidRPr="00440D32" w:rsidRDefault="00277EBF" w:rsidP="00277EBF">
            <w:pPr>
              <w:ind w:left="60"/>
              <w:rPr>
                <w:highlight w:val="yellow"/>
              </w:rPr>
            </w:pPr>
          </w:p>
          <w:p w14:paraId="51F58617" w14:textId="331A5FCD" w:rsidR="00277EBF" w:rsidRPr="0004514C" w:rsidRDefault="00277EBF" w:rsidP="00277EBF">
            <w:pPr>
              <w:ind w:left="60"/>
              <w:rPr>
                <w:rFonts w:cs="Arial"/>
              </w:rPr>
            </w:pPr>
            <w:r w:rsidRPr="0004514C">
              <w:t xml:space="preserve">The </w:t>
            </w:r>
            <w:r w:rsidR="00835A94">
              <w:t>d</w:t>
            </w:r>
            <w:r w:rsidRPr="0004514C">
              <w:t xml:space="preserve">ivision of Bookham and Fetcham West includes the town of Bookham and western parts of Fetcham.  </w:t>
            </w:r>
            <w:r w:rsidRPr="0004514C">
              <w:rPr>
                <w:rFonts w:cs="Arial"/>
              </w:rPr>
              <w:t xml:space="preserve">These villages are surrounded by rural countryside protected from development by Metropolitan greenbelt policy with nearby areas of outstanding natural beauty. </w:t>
            </w:r>
          </w:p>
          <w:p w14:paraId="532602BC" w14:textId="77777777" w:rsidR="00277EBF" w:rsidRPr="0004514C" w:rsidRDefault="00277EBF" w:rsidP="00277EBF">
            <w:pPr>
              <w:rPr>
                <w:rFonts w:cs="Arial"/>
              </w:rPr>
            </w:pPr>
          </w:p>
          <w:p w14:paraId="2893E5C5" w14:textId="51AFD5C6" w:rsidR="00277EBF" w:rsidRDefault="00277EBF" w:rsidP="00277EBF">
            <w:pPr>
              <w:rPr>
                <w:rFonts w:cs="Arial"/>
              </w:rPr>
            </w:pPr>
            <w:r w:rsidRPr="0004514C">
              <w:rPr>
                <w:rFonts w:cs="Arial"/>
              </w:rPr>
              <w:t>There is a strong sense of community in the Bookham area with a very active Residents’ Association and strong voluntary participation.</w:t>
            </w:r>
            <w:r w:rsidR="00754125">
              <w:rPr>
                <w:rFonts w:cs="Arial"/>
              </w:rPr>
              <w:t xml:space="preserve"> </w:t>
            </w:r>
          </w:p>
          <w:p w14:paraId="4CE27774" w14:textId="77777777" w:rsidR="00277EBF" w:rsidRPr="009B7308" w:rsidRDefault="00277EBF" w:rsidP="00C23B6A"/>
          <w:p w14:paraId="270D8285" w14:textId="68FB9C0C" w:rsidR="00277EBF" w:rsidRPr="009B7308" w:rsidRDefault="00277EBF" w:rsidP="00277EBF">
            <w:pPr>
              <w:ind w:left="60"/>
              <w:rPr>
                <w:b/>
                <w:bCs/>
                <w:i/>
                <w:iCs/>
              </w:rPr>
            </w:pPr>
            <w:r w:rsidRPr="009B7308">
              <w:t xml:space="preserve">It is recognised that this </w:t>
            </w:r>
            <w:r w:rsidR="006A3076">
              <w:t>d</w:t>
            </w:r>
            <w:r w:rsidRPr="009B7308">
              <w:t xml:space="preserve">ivision </w:t>
            </w:r>
            <w:r w:rsidR="00754125" w:rsidRPr="009B7308">
              <w:t xml:space="preserve">remains slightly above electoral variance. </w:t>
            </w:r>
            <w:r w:rsidRPr="009B7308">
              <w:t xml:space="preserve">However, there are a number of factors influencing this.  Firstly, the northern and western boundaries are restricted by the borders with Elmbridge and Guildford respectively.  The </w:t>
            </w:r>
            <w:r w:rsidR="004E0ACF" w:rsidRPr="009B7308">
              <w:t xml:space="preserve">majority of the </w:t>
            </w:r>
            <w:r w:rsidRPr="009B7308">
              <w:t xml:space="preserve">easterly boundary follows the main roads through Fetcham </w:t>
            </w:r>
            <w:r w:rsidR="001677F4">
              <w:t>as Fetcham is too large to be in one division. Option A suggests that the boundary could be adjusted slightly to equalise both divisions at 11%. However</w:t>
            </w:r>
            <w:r w:rsidR="00F608B0">
              <w:t>, as there are 26,324 voters within Bookham, Fetcham and Leatheread, it will be impossible to bring both of these divisions into electoral tolerance</w:t>
            </w:r>
            <w:r w:rsidR="00EA41B8">
              <w:t xml:space="preserve"> without amending the southern boundary</w:t>
            </w:r>
            <w:r w:rsidR="009E409F" w:rsidRPr="009B7308">
              <w:t xml:space="preserve">. </w:t>
            </w:r>
            <w:r w:rsidR="00EA41B8">
              <w:t xml:space="preserve">However, </w:t>
            </w:r>
            <w:r w:rsidRPr="009B7308">
              <w:t xml:space="preserve">just south of the </w:t>
            </w:r>
            <w:r w:rsidR="00C23B6A">
              <w:t>d</w:t>
            </w:r>
            <w:r w:rsidRPr="009B7308">
              <w:t xml:space="preserve">ivision lie the Surrey Hills, which make a clear natural divide between the three northern divisions and the more southerly ones. </w:t>
            </w:r>
          </w:p>
          <w:p w14:paraId="4C54F8F0" w14:textId="77777777" w:rsidR="00277EBF" w:rsidRPr="00440D32" w:rsidRDefault="00277EBF" w:rsidP="00277EBF">
            <w:pPr>
              <w:ind w:left="60"/>
              <w:rPr>
                <w:highlight w:val="yellow"/>
              </w:rPr>
            </w:pPr>
          </w:p>
        </w:tc>
      </w:tr>
      <w:tr w:rsidR="00277EBF" w14:paraId="1637D722" w14:textId="77777777">
        <w:tc>
          <w:tcPr>
            <w:tcW w:w="3045" w:type="dxa"/>
          </w:tcPr>
          <w:p w14:paraId="2C931B1C" w14:textId="77777777" w:rsidR="009A37B4" w:rsidRDefault="009A37B4" w:rsidP="00277EBF">
            <w:pPr>
              <w:spacing w:before="240"/>
              <w:jc w:val="center"/>
              <w:rPr>
                <w:b/>
                <w:bCs/>
              </w:rPr>
            </w:pPr>
          </w:p>
          <w:p w14:paraId="6F2DE5BA" w14:textId="445283B2" w:rsidR="00277EBF" w:rsidRPr="00AA4824" w:rsidRDefault="00277EBF" w:rsidP="00277EBF">
            <w:pPr>
              <w:spacing w:before="240"/>
              <w:jc w:val="center"/>
              <w:rPr>
                <w:b/>
                <w:bCs/>
              </w:rPr>
            </w:pPr>
            <w:r w:rsidRPr="00AA4824">
              <w:rPr>
                <w:b/>
                <w:bCs/>
              </w:rPr>
              <w:t>Leatherhead and Fetcham East</w:t>
            </w:r>
          </w:p>
        </w:tc>
        <w:tc>
          <w:tcPr>
            <w:tcW w:w="1321" w:type="dxa"/>
            <w:vAlign w:val="center"/>
          </w:tcPr>
          <w:p w14:paraId="45B5FAEB" w14:textId="0B86A74E" w:rsidR="00277EBF" w:rsidRDefault="006A7721" w:rsidP="00277EBF">
            <w:pPr>
              <w:spacing w:before="240"/>
              <w:jc w:val="center"/>
              <w:rPr>
                <w:rFonts w:cs="Arial"/>
              </w:rPr>
            </w:pPr>
            <w:r>
              <w:rPr>
                <w:rFonts w:cs="Arial"/>
              </w:rPr>
              <w:t>A</w:t>
            </w:r>
            <w:r w:rsidR="00B269F0">
              <w:rPr>
                <w:rFonts w:cs="Arial"/>
              </w:rPr>
              <w:t xml:space="preserve">: </w:t>
            </w:r>
            <w:r w:rsidR="00EF3BE8">
              <w:rPr>
                <w:rFonts w:cs="Arial"/>
              </w:rPr>
              <w:t>13,158</w:t>
            </w:r>
          </w:p>
          <w:p w14:paraId="4ED2FD97" w14:textId="0AC2FCCA" w:rsidR="00277EBF" w:rsidRDefault="006A7721" w:rsidP="00277EBF">
            <w:pPr>
              <w:spacing w:before="240"/>
              <w:jc w:val="center"/>
            </w:pPr>
            <w:r>
              <w:t>B</w:t>
            </w:r>
            <w:r w:rsidR="00FD310E">
              <w:t>: 12,648</w:t>
            </w:r>
          </w:p>
        </w:tc>
        <w:tc>
          <w:tcPr>
            <w:tcW w:w="1280" w:type="dxa"/>
            <w:vAlign w:val="center"/>
          </w:tcPr>
          <w:p w14:paraId="561C903F" w14:textId="593ADDD2" w:rsidR="00277EBF" w:rsidRDefault="006A7721" w:rsidP="00277EBF">
            <w:pPr>
              <w:spacing w:before="240"/>
              <w:jc w:val="center"/>
              <w:rPr>
                <w:rFonts w:cs="Arial"/>
              </w:rPr>
            </w:pPr>
            <w:r>
              <w:rPr>
                <w:rFonts w:cs="Arial"/>
              </w:rPr>
              <w:t>A</w:t>
            </w:r>
            <w:r w:rsidR="00B269F0">
              <w:rPr>
                <w:rFonts w:cs="Arial"/>
              </w:rPr>
              <w:t xml:space="preserve">: </w:t>
            </w:r>
            <w:r w:rsidR="00FD310E">
              <w:rPr>
                <w:rFonts w:cs="Arial"/>
              </w:rPr>
              <w:t>10</w:t>
            </w:r>
            <w:r w:rsidR="00277EBF">
              <w:rPr>
                <w:rFonts w:cs="Arial"/>
              </w:rPr>
              <w:t>%</w:t>
            </w:r>
          </w:p>
          <w:p w14:paraId="0F576ECA" w14:textId="6E982679" w:rsidR="00277EBF" w:rsidRDefault="006A7721" w:rsidP="00277EBF">
            <w:pPr>
              <w:spacing w:before="240"/>
              <w:jc w:val="center"/>
            </w:pPr>
            <w:r>
              <w:t>B</w:t>
            </w:r>
            <w:r w:rsidR="00FD310E">
              <w:t>: 6%</w:t>
            </w:r>
          </w:p>
        </w:tc>
        <w:tc>
          <w:tcPr>
            <w:tcW w:w="9233" w:type="dxa"/>
          </w:tcPr>
          <w:p w14:paraId="7D006934" w14:textId="59C68449" w:rsidR="00A769B5" w:rsidRDefault="00A769B5" w:rsidP="00A769B5">
            <w:pPr>
              <w:rPr>
                <w:highlight w:val="yellow"/>
              </w:rPr>
            </w:pPr>
          </w:p>
          <w:p w14:paraId="04D26990" w14:textId="0001CAB2" w:rsidR="00B53967" w:rsidRDefault="008E7B09" w:rsidP="00B53967">
            <w:pPr>
              <w:ind w:left="60"/>
              <w:rPr>
                <w:rFonts w:cs="Arial"/>
              </w:rPr>
            </w:pPr>
            <w:r w:rsidRPr="009A37B4">
              <w:rPr>
                <w:rFonts w:cs="Arial"/>
              </w:rPr>
              <w:t>Leatherhead and Fetcham East is projected to have a electoral variance outside of tolerance at 19%</w:t>
            </w:r>
            <w:r w:rsidR="00945F62" w:rsidRPr="009A37B4">
              <w:rPr>
                <w:rFonts w:cs="Arial"/>
              </w:rPr>
              <w:t xml:space="preserve"> in 2029. </w:t>
            </w:r>
            <w:r w:rsidR="00982F98" w:rsidRPr="009A37B4">
              <w:rPr>
                <w:rFonts w:cs="Arial"/>
              </w:rPr>
              <w:t xml:space="preserve">However, this is a difficult variance to address, given that Ashtead to the East is very much a distinct community and Bookham and Fetcham West to the </w:t>
            </w:r>
            <w:r w:rsidR="00EA582D">
              <w:rPr>
                <w:rFonts w:cs="Arial"/>
              </w:rPr>
              <w:t>w</w:t>
            </w:r>
            <w:r w:rsidR="007A0289" w:rsidRPr="009A37B4">
              <w:rPr>
                <w:rFonts w:cs="Arial"/>
              </w:rPr>
              <w:t>est is also large. Therefore the only real option for reducing the electoral variance in Leatherhead and Fetcham East i</w:t>
            </w:r>
            <w:r w:rsidR="00B53967" w:rsidRPr="009A37B4">
              <w:rPr>
                <w:rFonts w:cs="Arial"/>
              </w:rPr>
              <w:t xml:space="preserve">s to change the boundary to the </w:t>
            </w:r>
            <w:r w:rsidR="00EA582D">
              <w:rPr>
                <w:rFonts w:cs="Arial"/>
              </w:rPr>
              <w:t>s</w:t>
            </w:r>
            <w:r w:rsidR="00B53967" w:rsidRPr="009A37B4">
              <w:rPr>
                <w:rFonts w:cs="Arial"/>
              </w:rPr>
              <w:t xml:space="preserve">outh. </w:t>
            </w:r>
          </w:p>
          <w:p w14:paraId="63438165" w14:textId="77777777" w:rsidR="006A3076" w:rsidRPr="009A37B4" w:rsidRDefault="006A3076" w:rsidP="00B53967">
            <w:pPr>
              <w:ind w:left="60"/>
              <w:rPr>
                <w:rFonts w:cs="Arial"/>
              </w:rPr>
            </w:pPr>
          </w:p>
          <w:p w14:paraId="0508A2CC" w14:textId="77777777" w:rsidR="00B53967" w:rsidRPr="00B53967" w:rsidRDefault="00B53967" w:rsidP="00B53967">
            <w:pPr>
              <w:overflowPunct/>
              <w:autoSpaceDE/>
              <w:autoSpaceDN/>
              <w:adjustRightInd/>
              <w:textAlignment w:val="auto"/>
              <w:rPr>
                <w:rFonts w:eastAsia="Calibri" w:cs="Arial"/>
                <w:szCs w:val="22"/>
              </w:rPr>
            </w:pPr>
            <w:r w:rsidRPr="00B53967">
              <w:rPr>
                <w:rFonts w:eastAsia="Calibri" w:cs="Arial"/>
                <w:szCs w:val="22"/>
              </w:rPr>
              <w:t>This will result in the southern part of the town just north of the bypass being linked with the Leatherhead area south of the bypass in a villages based division – the boundary commission having recognised that this was the most appropriate area to move south in the last boundary review and it does share similar issues with the villages of Headley and Mickleham (and certainly has greater links with these village communities than with the estates and business parks of North Leatherhead).</w:t>
            </w:r>
          </w:p>
          <w:p w14:paraId="1CB9928C" w14:textId="17286DC4" w:rsidR="00277EBF" w:rsidRDefault="00277EBF" w:rsidP="00A769B5">
            <w:pPr>
              <w:ind w:left="60"/>
            </w:pPr>
          </w:p>
        </w:tc>
      </w:tr>
      <w:tr w:rsidR="00AA4824" w14:paraId="56ECD1FA" w14:textId="77777777">
        <w:tc>
          <w:tcPr>
            <w:tcW w:w="3045" w:type="dxa"/>
          </w:tcPr>
          <w:p w14:paraId="3FB296D2" w14:textId="6D4D7D1F" w:rsidR="00A06FD3" w:rsidRDefault="00A06FD3" w:rsidP="00533970">
            <w:pPr>
              <w:spacing w:before="240"/>
              <w:jc w:val="center"/>
              <w:rPr>
                <w:b/>
                <w:bCs/>
              </w:rPr>
            </w:pPr>
            <w:r>
              <w:rPr>
                <w:b/>
                <w:bCs/>
              </w:rPr>
              <w:t>Option A</w:t>
            </w:r>
            <w:r w:rsidR="00714D61">
              <w:rPr>
                <w:b/>
                <w:bCs/>
              </w:rPr>
              <w:t>: Western and Southern Villages</w:t>
            </w:r>
          </w:p>
          <w:p w14:paraId="50C61030" w14:textId="26DE93B5" w:rsidR="00A06FD3" w:rsidRDefault="00A06FD3" w:rsidP="006A7721">
            <w:pPr>
              <w:spacing w:before="240"/>
              <w:jc w:val="center"/>
              <w:rPr>
                <w:b/>
                <w:bCs/>
              </w:rPr>
            </w:pPr>
            <w:r>
              <w:rPr>
                <w:b/>
                <w:bCs/>
              </w:rPr>
              <w:t xml:space="preserve">Option B: </w:t>
            </w:r>
            <w:r w:rsidRPr="00AA4824">
              <w:rPr>
                <w:b/>
                <w:bCs/>
              </w:rPr>
              <w:t>Dorking Hills</w:t>
            </w:r>
          </w:p>
          <w:p w14:paraId="099F0C11" w14:textId="77777777" w:rsidR="00A06FD3" w:rsidRDefault="00351634" w:rsidP="005C5D76">
            <w:pPr>
              <w:spacing w:before="240"/>
              <w:jc w:val="center"/>
              <w:rPr>
                <w:b/>
                <w:bCs/>
                <w:i/>
                <w:iCs/>
              </w:rPr>
            </w:pPr>
            <w:r>
              <w:rPr>
                <w:b/>
                <w:bCs/>
                <w:i/>
                <w:iCs/>
              </w:rPr>
              <w:t xml:space="preserve">Currently known </w:t>
            </w:r>
            <w:r w:rsidR="00B86B4A">
              <w:rPr>
                <w:b/>
                <w:bCs/>
                <w:i/>
                <w:iCs/>
              </w:rPr>
              <w:t>as Dorking Hills</w:t>
            </w:r>
          </w:p>
          <w:p w14:paraId="7744F7C2" w14:textId="08B7AE1C" w:rsidR="00AA4824" w:rsidRPr="00533970" w:rsidRDefault="00AA4824" w:rsidP="00AA4824">
            <w:pPr>
              <w:spacing w:before="240"/>
              <w:jc w:val="center"/>
              <w:rPr>
                <w:b/>
                <w:i/>
              </w:rPr>
            </w:pPr>
          </w:p>
        </w:tc>
        <w:tc>
          <w:tcPr>
            <w:tcW w:w="1321" w:type="dxa"/>
            <w:vAlign w:val="center"/>
          </w:tcPr>
          <w:p w14:paraId="345624E8" w14:textId="2CED3664" w:rsidR="00DE298B" w:rsidRDefault="00A06FD3" w:rsidP="00AA4824">
            <w:pPr>
              <w:spacing w:before="240"/>
              <w:jc w:val="center"/>
              <w:rPr>
                <w:rFonts w:cs="Arial"/>
              </w:rPr>
            </w:pPr>
            <w:r>
              <w:rPr>
                <w:rFonts w:cs="Arial"/>
              </w:rPr>
              <w:t>A</w:t>
            </w:r>
            <w:r w:rsidR="00714D61">
              <w:rPr>
                <w:rFonts w:cs="Arial"/>
              </w:rPr>
              <w:t>: 11,616</w:t>
            </w:r>
          </w:p>
          <w:p w14:paraId="2BE1C776" w14:textId="6E433FC3" w:rsidR="00AA4824" w:rsidRDefault="00A06FD3" w:rsidP="00AA4824">
            <w:pPr>
              <w:spacing w:before="240"/>
              <w:jc w:val="center"/>
            </w:pPr>
            <w:r>
              <w:rPr>
                <w:rFonts w:cs="Arial"/>
              </w:rPr>
              <w:t>B</w:t>
            </w:r>
            <w:r w:rsidR="00DE298B">
              <w:rPr>
                <w:rFonts w:cs="Arial"/>
              </w:rPr>
              <w:t>: 11,663</w:t>
            </w:r>
          </w:p>
        </w:tc>
        <w:tc>
          <w:tcPr>
            <w:tcW w:w="1280" w:type="dxa"/>
            <w:vAlign w:val="center"/>
          </w:tcPr>
          <w:p w14:paraId="046497F4" w14:textId="6FC0640E" w:rsidR="00AA4824" w:rsidRDefault="00A06FD3" w:rsidP="00AA4824">
            <w:pPr>
              <w:spacing w:before="240"/>
              <w:jc w:val="center"/>
              <w:rPr>
                <w:rFonts w:cs="Arial"/>
              </w:rPr>
            </w:pPr>
            <w:r>
              <w:rPr>
                <w:rFonts w:cs="Arial"/>
              </w:rPr>
              <w:t>A</w:t>
            </w:r>
            <w:r w:rsidR="00714D61">
              <w:rPr>
                <w:rFonts w:cs="Arial"/>
              </w:rPr>
              <w:t xml:space="preserve">: </w:t>
            </w:r>
            <w:r w:rsidR="00DE298B">
              <w:rPr>
                <w:rFonts w:cs="Arial"/>
              </w:rPr>
              <w:t>-2</w:t>
            </w:r>
            <w:r w:rsidR="00AA4824">
              <w:rPr>
                <w:rFonts w:cs="Arial"/>
              </w:rPr>
              <w:t>%</w:t>
            </w:r>
          </w:p>
          <w:p w14:paraId="0FADC89F" w14:textId="46640012" w:rsidR="00AA4824" w:rsidRDefault="00A06FD3" w:rsidP="00AA4824">
            <w:pPr>
              <w:spacing w:before="240"/>
              <w:jc w:val="center"/>
            </w:pPr>
            <w:r>
              <w:t>B</w:t>
            </w:r>
            <w:r w:rsidR="00F4651A">
              <w:t xml:space="preserve">: </w:t>
            </w:r>
            <w:r w:rsidR="001631F8">
              <w:t>-2%</w:t>
            </w:r>
          </w:p>
        </w:tc>
        <w:tc>
          <w:tcPr>
            <w:tcW w:w="9233" w:type="dxa"/>
            <w:vMerge w:val="restart"/>
          </w:tcPr>
          <w:p w14:paraId="2A672C3F" w14:textId="77777777" w:rsidR="00AA4824" w:rsidRDefault="00AA4824" w:rsidP="009745C4">
            <w:pPr>
              <w:pStyle w:val="BodyTextIndent"/>
              <w:ind w:left="0" w:firstLine="0"/>
            </w:pPr>
          </w:p>
          <w:p w14:paraId="14C04CBE" w14:textId="5BD31D9C" w:rsidR="005C7596" w:rsidRDefault="004332AE" w:rsidP="005C7596">
            <w:pPr>
              <w:rPr>
                <w:rFonts w:eastAsia="Calibri" w:cs="Arial"/>
                <w:szCs w:val="22"/>
              </w:rPr>
            </w:pPr>
            <w:r w:rsidRPr="004332AE">
              <w:rPr>
                <w:rFonts w:cs="Arial"/>
              </w:rPr>
              <w:t xml:space="preserve">Option A: </w:t>
            </w:r>
            <w:r w:rsidR="00700BA1" w:rsidRPr="004332AE">
              <w:rPr>
                <w:rFonts w:cs="Arial"/>
              </w:rPr>
              <w:t xml:space="preserve">In the </w:t>
            </w:r>
            <w:r w:rsidR="00BB45D9">
              <w:rPr>
                <w:rFonts w:cs="Arial"/>
              </w:rPr>
              <w:t>s</w:t>
            </w:r>
            <w:r w:rsidR="00700BA1" w:rsidRPr="004332AE">
              <w:rPr>
                <w:rFonts w:cs="Arial"/>
              </w:rPr>
              <w:t xml:space="preserve">outh of the </w:t>
            </w:r>
            <w:r w:rsidR="00EA582D">
              <w:rPr>
                <w:rFonts w:cs="Arial"/>
              </w:rPr>
              <w:t>d</w:t>
            </w:r>
            <w:r w:rsidR="00700BA1" w:rsidRPr="004332AE">
              <w:rPr>
                <w:rFonts w:cs="Arial"/>
              </w:rPr>
              <w:t xml:space="preserve">istrict, </w:t>
            </w:r>
            <w:r w:rsidR="009E2C37" w:rsidRPr="004332AE">
              <w:rPr>
                <w:rFonts w:cs="Arial"/>
              </w:rPr>
              <w:t xml:space="preserve">Option A draws a fairly distinct line down the centre of the Mole Valley, creating two divisions to either side of Dorking Town. </w:t>
            </w:r>
            <w:r w:rsidR="00642214" w:rsidRPr="00642214">
              <w:rPr>
                <w:rFonts w:eastAsia="Calibri" w:cs="Arial"/>
                <w:szCs w:val="22"/>
              </w:rPr>
              <w:t xml:space="preserve">The </w:t>
            </w:r>
            <w:r w:rsidR="00962837">
              <w:rPr>
                <w:rFonts w:eastAsia="Calibri" w:cs="Arial"/>
                <w:szCs w:val="22"/>
              </w:rPr>
              <w:t xml:space="preserve">proposer states that the </w:t>
            </w:r>
            <w:r w:rsidR="00642214" w:rsidRPr="00642214">
              <w:rPr>
                <w:rFonts w:eastAsia="Calibri" w:cs="Arial"/>
                <w:szCs w:val="22"/>
              </w:rPr>
              <w:t xml:space="preserve">population across Ranmore Common is very sparce and there are no real road links and no community links across this area. This makes for a clear divisional boundary between the east and the west north of Dorking with Wotton Parish </w:t>
            </w:r>
            <w:r w:rsidR="004377F0">
              <w:rPr>
                <w:rFonts w:eastAsia="Calibri" w:cs="Arial"/>
                <w:szCs w:val="22"/>
              </w:rPr>
              <w:t>(</w:t>
            </w:r>
            <w:r w:rsidR="00642214" w:rsidRPr="00642214">
              <w:rPr>
                <w:rFonts w:eastAsia="Calibri" w:cs="Arial"/>
                <w:szCs w:val="22"/>
              </w:rPr>
              <w:t>which cannot be warded</w:t>
            </w:r>
            <w:r w:rsidR="004377F0">
              <w:rPr>
                <w:rFonts w:eastAsia="Calibri" w:cs="Arial"/>
                <w:szCs w:val="22"/>
              </w:rPr>
              <w:t>)</w:t>
            </w:r>
            <w:r w:rsidR="00642214" w:rsidRPr="00642214">
              <w:rPr>
                <w:rFonts w:eastAsia="Calibri" w:cs="Arial"/>
                <w:szCs w:val="22"/>
              </w:rPr>
              <w:t xml:space="preserve"> in the west and Westhumble / Mickleham [FB and FA </w:t>
            </w:r>
            <w:r w:rsidR="004377F0">
              <w:rPr>
                <w:rFonts w:eastAsia="Calibri" w:cs="Arial"/>
                <w:szCs w:val="22"/>
              </w:rPr>
              <w:t>p</w:t>
            </w:r>
            <w:r w:rsidR="00642214" w:rsidRPr="00642214">
              <w:rPr>
                <w:rFonts w:eastAsia="Calibri" w:cs="Arial"/>
                <w:szCs w:val="22"/>
              </w:rPr>
              <w:t xml:space="preserve">olling </w:t>
            </w:r>
            <w:r w:rsidR="004377F0">
              <w:rPr>
                <w:rFonts w:eastAsia="Calibri" w:cs="Arial"/>
                <w:szCs w:val="22"/>
              </w:rPr>
              <w:t>d</w:t>
            </w:r>
            <w:r w:rsidR="00642214" w:rsidRPr="00642214">
              <w:rPr>
                <w:rFonts w:eastAsia="Calibri" w:cs="Arial"/>
                <w:szCs w:val="22"/>
              </w:rPr>
              <w:t>istricts] in the east. Mickleham also links with the Givons Grove part of Leatherhead. In the south there is a clear boundary east of Holmwoods / Beare Green and then between the Parishes of Capel and Newdigate. This will result in all the historic parishes being in a single county division which has not been the case in the past: in particular, with the villages of Capel, Beare Green and Coldharbour being in the same county division.</w:t>
            </w:r>
          </w:p>
          <w:p w14:paraId="4A4102AD" w14:textId="77777777" w:rsidR="000A7937" w:rsidRDefault="000A7937" w:rsidP="005C7596">
            <w:pPr>
              <w:rPr>
                <w:rFonts w:eastAsia="Calibri" w:cs="Arial"/>
                <w:szCs w:val="22"/>
              </w:rPr>
            </w:pPr>
          </w:p>
          <w:p w14:paraId="76AEF0E0" w14:textId="59D3E2CA" w:rsidR="00094D97" w:rsidRPr="004332AE" w:rsidRDefault="00BB45D9" w:rsidP="005C7596">
            <w:pPr>
              <w:rPr>
                <w:rFonts w:eastAsia="Calibri" w:cs="Arial"/>
                <w:szCs w:val="22"/>
              </w:rPr>
            </w:pPr>
            <w:r>
              <w:rPr>
                <w:rFonts w:eastAsia="Calibri" w:cs="Arial"/>
                <w:szCs w:val="22"/>
              </w:rPr>
              <w:t xml:space="preserve">Option B: Also creates two divisions in the south of the </w:t>
            </w:r>
            <w:r w:rsidR="00B3721C">
              <w:rPr>
                <w:rFonts w:eastAsia="Calibri" w:cs="Arial"/>
                <w:szCs w:val="22"/>
              </w:rPr>
              <w:t>d</w:t>
            </w:r>
            <w:r>
              <w:rPr>
                <w:rFonts w:eastAsia="Calibri" w:cs="Arial"/>
                <w:szCs w:val="22"/>
              </w:rPr>
              <w:t>istrict around Dorking Town but draws them slightly differently</w:t>
            </w:r>
            <w:r w:rsidR="00124186">
              <w:rPr>
                <w:rFonts w:eastAsia="Calibri" w:cs="Arial"/>
                <w:szCs w:val="22"/>
              </w:rPr>
              <w:t xml:space="preserve">, so that the look </w:t>
            </w:r>
            <w:r w:rsidR="009E4631">
              <w:rPr>
                <w:rFonts w:eastAsia="Calibri" w:cs="Arial"/>
                <w:szCs w:val="22"/>
              </w:rPr>
              <w:t>more like t</w:t>
            </w:r>
            <w:r w:rsidR="00962837">
              <w:rPr>
                <w:rFonts w:eastAsia="Calibri" w:cs="Arial"/>
                <w:szCs w:val="22"/>
              </w:rPr>
              <w:t>wo L-shapes fitted together. The proposer states that this optio</w:t>
            </w:r>
            <w:r w:rsidR="00CF4A63">
              <w:rPr>
                <w:rFonts w:eastAsia="Calibri" w:cs="Arial"/>
                <w:szCs w:val="22"/>
              </w:rPr>
              <w:t>n better support</w:t>
            </w:r>
            <w:r w:rsidR="007A7F38">
              <w:rPr>
                <w:rFonts w:eastAsia="Calibri" w:cs="Arial"/>
                <w:szCs w:val="22"/>
              </w:rPr>
              <w:t>s</w:t>
            </w:r>
            <w:r w:rsidR="00CF4A63">
              <w:rPr>
                <w:rFonts w:eastAsia="Calibri" w:cs="Arial"/>
                <w:szCs w:val="22"/>
              </w:rPr>
              <w:t xml:space="preserve"> community identity </w:t>
            </w:r>
            <w:r w:rsidR="00962837">
              <w:rPr>
                <w:rFonts w:eastAsia="Calibri" w:cs="Arial"/>
                <w:szCs w:val="22"/>
              </w:rPr>
              <w:t>as</w:t>
            </w:r>
            <w:r w:rsidR="00CF4A63" w:rsidRPr="00CF4A63">
              <w:rPr>
                <w:rFonts w:eastAsia="Calibri" w:cs="Arial"/>
                <w:szCs w:val="22"/>
              </w:rPr>
              <w:t xml:space="preserve"> the Dorking Rural </w:t>
            </w:r>
            <w:r w:rsidR="00CF4A63">
              <w:rPr>
                <w:rFonts w:eastAsia="Calibri" w:cs="Arial"/>
                <w:szCs w:val="22"/>
              </w:rPr>
              <w:t>d</w:t>
            </w:r>
            <w:r w:rsidR="00CF4A63" w:rsidRPr="00CF4A63">
              <w:rPr>
                <w:rFonts w:eastAsia="Calibri" w:cs="Arial"/>
                <w:szCs w:val="22"/>
              </w:rPr>
              <w:t>ivision brings together parishes that represent the rural south of Mole Valley and will not be dominated by a town or urban area outweighing the needs of rural communities</w:t>
            </w:r>
            <w:r w:rsidR="00094D97">
              <w:rPr>
                <w:rFonts w:eastAsia="Calibri" w:cs="Arial"/>
                <w:szCs w:val="22"/>
              </w:rPr>
              <w:t>.</w:t>
            </w:r>
          </w:p>
          <w:p w14:paraId="39644661" w14:textId="304CCB1F" w:rsidR="00A769B5" w:rsidRDefault="00A769B5" w:rsidP="00AA4824">
            <w:pPr>
              <w:ind w:left="60"/>
            </w:pPr>
          </w:p>
        </w:tc>
      </w:tr>
      <w:tr w:rsidR="00AA4824" w14:paraId="0D57BE4F" w14:textId="77777777">
        <w:tc>
          <w:tcPr>
            <w:tcW w:w="3045" w:type="dxa"/>
          </w:tcPr>
          <w:p w14:paraId="6C774415" w14:textId="77777777" w:rsidR="00A06FD3" w:rsidRDefault="00A06FD3" w:rsidP="006A7721">
            <w:pPr>
              <w:spacing w:before="240"/>
              <w:rPr>
                <w:b/>
                <w:bCs/>
              </w:rPr>
            </w:pPr>
            <w:r>
              <w:rPr>
                <w:b/>
                <w:bCs/>
              </w:rPr>
              <w:t>Option A</w:t>
            </w:r>
            <w:r w:rsidR="00314756">
              <w:rPr>
                <w:b/>
                <w:bCs/>
              </w:rPr>
              <w:t>: Eastern Villages</w:t>
            </w:r>
          </w:p>
          <w:p w14:paraId="22423547" w14:textId="39B32A5A" w:rsidR="00A06FD3" w:rsidRDefault="00A06FD3" w:rsidP="006A7721">
            <w:pPr>
              <w:spacing w:before="240"/>
              <w:jc w:val="center"/>
              <w:rPr>
                <w:b/>
                <w:bCs/>
              </w:rPr>
            </w:pPr>
            <w:r>
              <w:rPr>
                <w:b/>
                <w:bCs/>
              </w:rPr>
              <w:t xml:space="preserve">Option B: </w:t>
            </w:r>
            <w:r w:rsidRPr="00AA4824">
              <w:rPr>
                <w:b/>
                <w:bCs/>
              </w:rPr>
              <w:t>Dorking Rural</w:t>
            </w:r>
          </w:p>
          <w:p w14:paraId="296C8042" w14:textId="42813B58" w:rsidR="00A06FD3" w:rsidRDefault="00A06FD3" w:rsidP="006A7721">
            <w:pPr>
              <w:spacing w:before="240"/>
              <w:jc w:val="center"/>
              <w:rPr>
                <w:b/>
                <w:bCs/>
              </w:rPr>
            </w:pPr>
          </w:p>
          <w:p w14:paraId="56403C62" w14:textId="072CDE73" w:rsidR="00AA4824" w:rsidRPr="00AA4824" w:rsidRDefault="00B86B4A" w:rsidP="00AA4824">
            <w:pPr>
              <w:spacing w:before="240"/>
              <w:jc w:val="center"/>
              <w:rPr>
                <w:b/>
                <w:bCs/>
              </w:rPr>
            </w:pPr>
            <w:r>
              <w:rPr>
                <w:b/>
                <w:bCs/>
                <w:i/>
                <w:iCs/>
              </w:rPr>
              <w:t>Currently known as Dorking Rural</w:t>
            </w:r>
          </w:p>
        </w:tc>
        <w:tc>
          <w:tcPr>
            <w:tcW w:w="1321" w:type="dxa"/>
            <w:vAlign w:val="center"/>
          </w:tcPr>
          <w:p w14:paraId="04BB0D01" w14:textId="71F9E8C7" w:rsidR="00AA4824" w:rsidRDefault="00A06FD3" w:rsidP="00AA4824">
            <w:pPr>
              <w:spacing w:before="240"/>
              <w:jc w:val="center"/>
              <w:rPr>
                <w:rFonts w:cs="Arial"/>
              </w:rPr>
            </w:pPr>
            <w:r>
              <w:rPr>
                <w:rFonts w:cs="Arial"/>
              </w:rPr>
              <w:t>A</w:t>
            </w:r>
            <w:r w:rsidR="001B6C4A">
              <w:rPr>
                <w:rFonts w:cs="Arial"/>
              </w:rPr>
              <w:t>: 12,714</w:t>
            </w:r>
          </w:p>
          <w:p w14:paraId="581CC3F1" w14:textId="77777777" w:rsidR="001B6C4A" w:rsidRDefault="001B6C4A" w:rsidP="00AA4824">
            <w:pPr>
              <w:spacing w:before="240"/>
              <w:jc w:val="center"/>
            </w:pPr>
          </w:p>
          <w:p w14:paraId="79597043" w14:textId="630ED5A0" w:rsidR="00AA4824" w:rsidRDefault="00A06FD3" w:rsidP="00AA4824">
            <w:pPr>
              <w:spacing w:before="240"/>
              <w:jc w:val="center"/>
            </w:pPr>
            <w:r>
              <w:t>B</w:t>
            </w:r>
            <w:r w:rsidR="001B6C4A">
              <w:t>: 13,177</w:t>
            </w:r>
          </w:p>
        </w:tc>
        <w:tc>
          <w:tcPr>
            <w:tcW w:w="1280" w:type="dxa"/>
            <w:vAlign w:val="center"/>
          </w:tcPr>
          <w:p w14:paraId="7BEDFF06" w14:textId="0D16F536" w:rsidR="00AA4824" w:rsidRDefault="00A06FD3" w:rsidP="00AA4824">
            <w:pPr>
              <w:spacing w:before="240"/>
              <w:jc w:val="center"/>
              <w:rPr>
                <w:rFonts w:cs="Arial"/>
              </w:rPr>
            </w:pPr>
            <w:r>
              <w:rPr>
                <w:rFonts w:cs="Arial"/>
              </w:rPr>
              <w:t>A</w:t>
            </w:r>
            <w:r w:rsidR="001B6C4A">
              <w:rPr>
                <w:rFonts w:cs="Arial"/>
              </w:rPr>
              <w:t>: 7%</w:t>
            </w:r>
          </w:p>
          <w:p w14:paraId="43412837" w14:textId="77777777" w:rsidR="001B6C4A" w:rsidRDefault="001B6C4A" w:rsidP="00AA4824">
            <w:pPr>
              <w:spacing w:before="240"/>
              <w:jc w:val="center"/>
            </w:pPr>
          </w:p>
          <w:p w14:paraId="7734B36C" w14:textId="45407F17" w:rsidR="00AA4824" w:rsidRDefault="00A06FD3" w:rsidP="00AA4824">
            <w:pPr>
              <w:spacing w:before="240"/>
              <w:jc w:val="center"/>
            </w:pPr>
            <w:r>
              <w:t>B</w:t>
            </w:r>
            <w:r w:rsidR="001B6C4A">
              <w:t>: 11%</w:t>
            </w:r>
          </w:p>
        </w:tc>
        <w:tc>
          <w:tcPr>
            <w:tcW w:w="9233" w:type="dxa"/>
            <w:vMerge/>
          </w:tcPr>
          <w:p w14:paraId="0387D735" w14:textId="32E7C83A" w:rsidR="00AA4824" w:rsidRDefault="00AA4824" w:rsidP="00AA4824">
            <w:pPr>
              <w:ind w:left="60"/>
            </w:pPr>
          </w:p>
        </w:tc>
      </w:tr>
      <w:tr w:rsidR="00AA4824" w14:paraId="51F72E57" w14:textId="77777777">
        <w:tc>
          <w:tcPr>
            <w:tcW w:w="3045" w:type="dxa"/>
          </w:tcPr>
          <w:p w14:paraId="3016C53C" w14:textId="77777777" w:rsidR="003252FC" w:rsidRDefault="003252FC" w:rsidP="00AA4824">
            <w:pPr>
              <w:spacing w:before="240"/>
              <w:jc w:val="center"/>
              <w:rPr>
                <w:b/>
                <w:bCs/>
              </w:rPr>
            </w:pPr>
          </w:p>
          <w:p w14:paraId="38F76D6D" w14:textId="2E72D8DE" w:rsidR="003252FC" w:rsidRDefault="003252FC" w:rsidP="00AA4824">
            <w:pPr>
              <w:spacing w:before="240"/>
              <w:jc w:val="center"/>
              <w:rPr>
                <w:b/>
                <w:bCs/>
              </w:rPr>
            </w:pPr>
            <w:r>
              <w:rPr>
                <w:b/>
                <w:bCs/>
              </w:rPr>
              <w:t>Dorking Town</w:t>
            </w:r>
          </w:p>
          <w:p w14:paraId="7A2C9D0F" w14:textId="2D466FBF" w:rsidR="00AA4824" w:rsidRPr="00B86B4A" w:rsidRDefault="00B86B4A" w:rsidP="00AA4824">
            <w:pPr>
              <w:spacing w:before="240"/>
              <w:jc w:val="center"/>
              <w:rPr>
                <w:b/>
                <w:i/>
              </w:rPr>
            </w:pPr>
            <w:r w:rsidRPr="00B86B4A">
              <w:rPr>
                <w:b/>
                <w:bCs/>
                <w:i/>
                <w:iCs/>
              </w:rPr>
              <w:t>Currently known as</w:t>
            </w:r>
            <w:r w:rsidR="003252FC" w:rsidRPr="00B86B4A">
              <w:rPr>
                <w:b/>
                <w:i/>
              </w:rPr>
              <w:t xml:space="preserve"> </w:t>
            </w:r>
            <w:r w:rsidR="00AA4824" w:rsidRPr="00B86B4A">
              <w:rPr>
                <w:b/>
                <w:i/>
              </w:rPr>
              <w:t>Dorking South and the Holmwoods</w:t>
            </w:r>
          </w:p>
        </w:tc>
        <w:tc>
          <w:tcPr>
            <w:tcW w:w="1321" w:type="dxa"/>
            <w:vAlign w:val="center"/>
          </w:tcPr>
          <w:p w14:paraId="1C9249C7" w14:textId="17A4B343" w:rsidR="00AA4824" w:rsidRDefault="007B4A9C" w:rsidP="00AA4824">
            <w:pPr>
              <w:spacing w:before="240"/>
              <w:jc w:val="center"/>
            </w:pPr>
            <w:r>
              <w:rPr>
                <w:rFonts w:cs="Arial"/>
              </w:rPr>
              <w:t>13,111</w:t>
            </w:r>
          </w:p>
        </w:tc>
        <w:tc>
          <w:tcPr>
            <w:tcW w:w="1280" w:type="dxa"/>
            <w:vAlign w:val="center"/>
          </w:tcPr>
          <w:p w14:paraId="33251E8D" w14:textId="0D65C76D" w:rsidR="00AA4824" w:rsidRDefault="007B4A9C" w:rsidP="00AA4824">
            <w:pPr>
              <w:spacing w:before="240"/>
              <w:jc w:val="center"/>
            </w:pPr>
            <w:r>
              <w:rPr>
                <w:rFonts w:cs="Arial"/>
              </w:rPr>
              <w:t>10</w:t>
            </w:r>
            <w:r w:rsidR="00AA4824">
              <w:rPr>
                <w:rFonts w:cs="Arial"/>
              </w:rPr>
              <w:t>%</w:t>
            </w:r>
          </w:p>
        </w:tc>
        <w:tc>
          <w:tcPr>
            <w:tcW w:w="9233" w:type="dxa"/>
          </w:tcPr>
          <w:p w14:paraId="7175A5AF" w14:textId="77777777" w:rsidR="00AA4824" w:rsidRDefault="00AA4824" w:rsidP="00AA4824">
            <w:pPr>
              <w:ind w:left="60"/>
            </w:pPr>
          </w:p>
          <w:p w14:paraId="572DD2DC" w14:textId="3FEF90BD" w:rsidR="00AA4824" w:rsidRDefault="00D1409F" w:rsidP="00A769B5">
            <w:pPr>
              <w:ind w:left="60"/>
            </w:pPr>
            <w:r>
              <w:t xml:space="preserve">There was cross-party agreement </w:t>
            </w:r>
            <w:r w:rsidR="007B49DB">
              <w:t>from</w:t>
            </w:r>
            <w:r>
              <w:t xml:space="preserve"> local </w:t>
            </w:r>
            <w:r w:rsidR="007B49DB">
              <w:t>Members regarding</w:t>
            </w:r>
            <w:r w:rsidR="00737E03">
              <w:t xml:space="preserve"> a new Dorking Town </w:t>
            </w:r>
            <w:r w:rsidR="007B49DB">
              <w:t>division being</w:t>
            </w:r>
            <w:r w:rsidR="00737E03">
              <w:t xml:space="preserve"> created</w:t>
            </w:r>
            <w:r w:rsidR="007B49DB">
              <w:t xml:space="preserve"> in Mole Valley</w:t>
            </w:r>
            <w:r w:rsidR="00737E03">
              <w:t xml:space="preserve">. This would bring together </w:t>
            </w:r>
            <w:r w:rsidR="00075307">
              <w:t xml:space="preserve">all of Dorking </w:t>
            </w:r>
            <w:r w:rsidR="002B3455">
              <w:t xml:space="preserve">in one </w:t>
            </w:r>
            <w:r w:rsidR="007A7F38">
              <w:t>d</w:t>
            </w:r>
            <w:r w:rsidR="002B3455">
              <w:t xml:space="preserve">ivision </w:t>
            </w:r>
            <w:r w:rsidR="00DD34B8">
              <w:t>(rather than the previous North/South split</w:t>
            </w:r>
            <w:r w:rsidR="007A7F38">
              <w:t xml:space="preserve">) </w:t>
            </w:r>
            <w:r w:rsidR="006B7410">
              <w:t xml:space="preserve">which would </w:t>
            </w:r>
            <w:r w:rsidR="00622CF9">
              <w:t>better meet match local community identity than the current arrangements</w:t>
            </w:r>
            <w:r w:rsidR="007B49DB">
              <w:t>).</w:t>
            </w:r>
            <w:r w:rsidR="00622CF9">
              <w:t xml:space="preserve"> </w:t>
            </w:r>
          </w:p>
          <w:p w14:paraId="3FC15804" w14:textId="77777777" w:rsidR="00622CF9" w:rsidRDefault="00622CF9" w:rsidP="00A769B5">
            <w:pPr>
              <w:ind w:left="60"/>
            </w:pPr>
          </w:p>
          <w:p w14:paraId="44F04E43" w14:textId="7A5DA096" w:rsidR="00622CF9" w:rsidRDefault="00622CF9" w:rsidP="00A769B5">
            <w:pPr>
              <w:ind w:left="60"/>
            </w:pPr>
            <w:r>
              <w:t xml:space="preserve">The new </w:t>
            </w:r>
            <w:r w:rsidR="007B49DB">
              <w:t>d</w:t>
            </w:r>
            <w:r>
              <w:t xml:space="preserve">ivision incorporates the following </w:t>
            </w:r>
            <w:r w:rsidR="00787E9A">
              <w:t xml:space="preserve">polling districts: </w:t>
            </w:r>
            <w:r w:rsidR="00D741C5">
              <w:t>FC; AB; AA; BA; BB; BC; DA</w:t>
            </w:r>
          </w:p>
        </w:tc>
      </w:tr>
    </w:tbl>
    <w:p w14:paraId="12B99CD2" w14:textId="77777777" w:rsidR="008256AD" w:rsidRDefault="008256AD"/>
    <w:p w14:paraId="75C1D643" w14:textId="77777777" w:rsidR="008256AD" w:rsidRDefault="008256AD">
      <w:pPr>
        <w:pStyle w:val="Heading1"/>
        <w:numPr>
          <w:ilvl w:val="0"/>
          <w:numId w:val="0"/>
        </w:numPr>
      </w:pPr>
      <w:r>
        <w:br w:type="page"/>
        <w:t>Reigate &amp; Banstead</w:t>
      </w:r>
    </w:p>
    <w:p w14:paraId="2845CE77" w14:textId="77777777" w:rsidR="008256AD" w:rsidRDefault="008256AD"/>
    <w:p w14:paraId="58230E1D" w14:textId="21D955B3" w:rsidR="008256AD" w:rsidRDefault="00992EBA">
      <w:r w:rsidRPr="00992EBA">
        <w:t>For Reigate &amp; Banstead, the proposal is for ten divisions representing an electorate of 118,944. This would equate to an average electorate size for each division of 11,894.</w:t>
      </w:r>
      <w:r w:rsidR="00480DA5">
        <w:t xml:space="preserve"> </w:t>
      </w:r>
      <w:r w:rsidR="004315D4">
        <w:t>Two options</w:t>
      </w:r>
      <w:r w:rsidR="00921E3E">
        <w:t xml:space="preserve"> have been presented for the Horley divisions, as the task group felt they both met the Commission’s criteria.</w:t>
      </w:r>
    </w:p>
    <w:p w14:paraId="53E1521D" w14:textId="77777777" w:rsidR="008256AD" w:rsidRDefault="008256AD"/>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375"/>
      </w:tblGrid>
      <w:tr w:rsidR="00945A98" w14:paraId="020AADB4" w14:textId="77777777" w:rsidTr="00945A98">
        <w:tc>
          <w:tcPr>
            <w:tcW w:w="3045" w:type="dxa"/>
          </w:tcPr>
          <w:p w14:paraId="06180BBD" w14:textId="77777777" w:rsidR="00945A98" w:rsidRDefault="00945A98">
            <w:pPr>
              <w:pStyle w:val="Heading4"/>
              <w:numPr>
                <w:ilvl w:val="0"/>
                <w:numId w:val="0"/>
              </w:numPr>
              <w:spacing w:before="120"/>
              <w:jc w:val="center"/>
              <w:rPr>
                <w:b/>
                <w:bCs/>
                <w:i w:val="0"/>
                <w:iCs w:val="0"/>
              </w:rPr>
            </w:pPr>
            <w:r>
              <w:rPr>
                <w:b/>
                <w:bCs/>
                <w:i w:val="0"/>
                <w:iCs w:val="0"/>
              </w:rPr>
              <w:t>Division Name</w:t>
            </w:r>
          </w:p>
        </w:tc>
        <w:tc>
          <w:tcPr>
            <w:tcW w:w="1321" w:type="dxa"/>
          </w:tcPr>
          <w:p w14:paraId="63870608" w14:textId="77777777" w:rsidR="00945A98" w:rsidRDefault="00945A98">
            <w:pPr>
              <w:spacing w:before="120"/>
              <w:jc w:val="center"/>
              <w:rPr>
                <w:b/>
                <w:bCs/>
              </w:rPr>
            </w:pPr>
            <w:r>
              <w:rPr>
                <w:b/>
                <w:bCs/>
              </w:rPr>
              <w:t>2029 Forecast Electorate</w:t>
            </w:r>
          </w:p>
        </w:tc>
        <w:tc>
          <w:tcPr>
            <w:tcW w:w="1280" w:type="dxa"/>
          </w:tcPr>
          <w:p w14:paraId="4DFF5FD6" w14:textId="77777777" w:rsidR="00945A98" w:rsidRDefault="00945A98">
            <w:pPr>
              <w:spacing w:before="120"/>
              <w:jc w:val="center"/>
              <w:rPr>
                <w:b/>
                <w:bCs/>
              </w:rPr>
            </w:pPr>
            <w:r>
              <w:rPr>
                <w:b/>
                <w:bCs/>
              </w:rPr>
              <w:t>2029 Forecast Electorate Variance</w:t>
            </w:r>
          </w:p>
        </w:tc>
        <w:tc>
          <w:tcPr>
            <w:tcW w:w="9375" w:type="dxa"/>
          </w:tcPr>
          <w:p w14:paraId="4B406FB7" w14:textId="77777777" w:rsidR="00945A98" w:rsidRDefault="00945A98">
            <w:pPr>
              <w:spacing w:before="120"/>
              <w:jc w:val="center"/>
              <w:rPr>
                <w:b/>
                <w:bCs/>
              </w:rPr>
            </w:pPr>
            <w:r>
              <w:rPr>
                <w:b/>
                <w:bCs/>
              </w:rPr>
              <w:t>Evidence and Rationale that the proposals meet the statutory criteria</w:t>
            </w:r>
          </w:p>
        </w:tc>
      </w:tr>
      <w:tr w:rsidR="00B5482F" w14:paraId="1F8B9DA7" w14:textId="77777777">
        <w:tc>
          <w:tcPr>
            <w:tcW w:w="3045" w:type="dxa"/>
          </w:tcPr>
          <w:p w14:paraId="6EB68D48" w14:textId="77777777" w:rsidR="00B5482F" w:rsidRPr="001902D7" w:rsidRDefault="00B5482F" w:rsidP="00B5482F">
            <w:pPr>
              <w:spacing w:before="240"/>
              <w:jc w:val="center"/>
              <w:rPr>
                <w:b/>
                <w:bCs/>
              </w:rPr>
            </w:pPr>
            <w:r w:rsidRPr="001902D7">
              <w:rPr>
                <w:b/>
                <w:bCs/>
              </w:rPr>
              <w:t>Banstead, Woodmansterne &amp; Chipstead</w:t>
            </w:r>
          </w:p>
        </w:tc>
        <w:tc>
          <w:tcPr>
            <w:tcW w:w="1321" w:type="dxa"/>
            <w:vAlign w:val="center"/>
          </w:tcPr>
          <w:p w14:paraId="6C56FA84" w14:textId="0522AD7D" w:rsidR="00B5482F" w:rsidRPr="000C254C" w:rsidRDefault="00B5482F" w:rsidP="00B5482F">
            <w:pPr>
              <w:spacing w:before="240"/>
              <w:jc w:val="center"/>
            </w:pPr>
            <w:r w:rsidRPr="000C254C">
              <w:rPr>
                <w:rFonts w:cs="Arial"/>
              </w:rPr>
              <w:t>11,607</w:t>
            </w:r>
          </w:p>
        </w:tc>
        <w:tc>
          <w:tcPr>
            <w:tcW w:w="1280" w:type="dxa"/>
            <w:vAlign w:val="center"/>
          </w:tcPr>
          <w:p w14:paraId="5FD5985B" w14:textId="55453C9C" w:rsidR="00B5482F" w:rsidRPr="000C254C" w:rsidRDefault="00B5482F" w:rsidP="00B5482F">
            <w:pPr>
              <w:spacing w:before="240"/>
              <w:jc w:val="center"/>
            </w:pPr>
            <w:r w:rsidRPr="000C254C">
              <w:rPr>
                <w:rFonts w:cs="Arial"/>
              </w:rPr>
              <w:t>-3%</w:t>
            </w:r>
          </w:p>
        </w:tc>
        <w:tc>
          <w:tcPr>
            <w:tcW w:w="9375" w:type="dxa"/>
          </w:tcPr>
          <w:p w14:paraId="3C9B10C6" w14:textId="77777777" w:rsidR="00B5482F" w:rsidRDefault="00B5482F" w:rsidP="00B5482F">
            <w:pPr>
              <w:ind w:left="60"/>
            </w:pPr>
          </w:p>
          <w:p w14:paraId="4F3C33A1" w14:textId="6F64D502" w:rsidR="00603BC3" w:rsidRDefault="00603BC3" w:rsidP="00B5482F">
            <w:r>
              <w:t xml:space="preserve">There are no proposed changes to this </w:t>
            </w:r>
            <w:r w:rsidR="00666BBF">
              <w:t>d</w:t>
            </w:r>
            <w:r>
              <w:t xml:space="preserve">ivision. </w:t>
            </w:r>
          </w:p>
          <w:p w14:paraId="27F9F76D" w14:textId="77777777" w:rsidR="00603BC3" w:rsidRDefault="00603BC3" w:rsidP="00B5482F"/>
          <w:p w14:paraId="23DF6368" w14:textId="0636485D" w:rsidR="00B5482F" w:rsidRDefault="00B5482F" w:rsidP="00B5482F">
            <w:r>
              <w:t xml:space="preserve">The </w:t>
            </w:r>
            <w:r w:rsidR="00666BBF">
              <w:t>d</w:t>
            </w:r>
            <w:r>
              <w:t xml:space="preserve">ivision of Banstead, Woodmansterne and Chipstead is located in the north-east of Reigate and Banstead, with the eastern boundary following the County Border.  The north-western boundary follows the A217, a main arterial road dividing Banstead from Nork to the west.  The boundary then moves to the east, following the edge of Banstead, and then south along the edge of Banstead Wood before skirting round Kingswood to the intersection with Chipstead Lane.   Chipstead Lane/Hogcross Lane is the main road joining the east and west of the </w:t>
            </w:r>
            <w:r w:rsidR="00424F1F">
              <w:t>b</w:t>
            </w:r>
            <w:r>
              <w:t xml:space="preserve">orough in this area and therefore makes a good natural boundary for the southern edge of the </w:t>
            </w:r>
            <w:r w:rsidR="0042363E">
              <w:t>d</w:t>
            </w:r>
            <w:r>
              <w:t xml:space="preserve">ivision, before turning north at the end of Hogcross Lane, skirting the western edge of Hooley and the recreation ground before joining the A23 back to the </w:t>
            </w:r>
            <w:r w:rsidR="00424F1F">
              <w:t>b</w:t>
            </w:r>
            <w:r>
              <w:t xml:space="preserve">orough boundary.  </w:t>
            </w:r>
          </w:p>
          <w:p w14:paraId="4BF560B3" w14:textId="77777777" w:rsidR="00B5482F" w:rsidRDefault="00B5482F" w:rsidP="00B5482F">
            <w:pPr>
              <w:pStyle w:val="BodyText2"/>
            </w:pPr>
          </w:p>
        </w:tc>
      </w:tr>
      <w:tr w:rsidR="006B32BB" w14:paraId="343F2A69" w14:textId="77777777">
        <w:tc>
          <w:tcPr>
            <w:tcW w:w="3045" w:type="dxa"/>
          </w:tcPr>
          <w:p w14:paraId="4A2BD55A" w14:textId="77777777" w:rsidR="006B32BB" w:rsidRPr="001902D7" w:rsidRDefault="006B32BB" w:rsidP="006B32BB">
            <w:pPr>
              <w:spacing w:before="240"/>
              <w:jc w:val="center"/>
              <w:rPr>
                <w:b/>
                <w:bCs/>
              </w:rPr>
            </w:pPr>
            <w:r w:rsidRPr="001902D7">
              <w:rPr>
                <w:b/>
                <w:bCs/>
              </w:rPr>
              <w:t>Earlswood and Reigate South</w:t>
            </w:r>
          </w:p>
        </w:tc>
        <w:tc>
          <w:tcPr>
            <w:tcW w:w="1321" w:type="dxa"/>
            <w:vAlign w:val="center"/>
          </w:tcPr>
          <w:p w14:paraId="66623DB5" w14:textId="77777777" w:rsidR="006B32BB" w:rsidRDefault="00ED638A" w:rsidP="006B32BB">
            <w:pPr>
              <w:spacing w:before="240"/>
              <w:jc w:val="center"/>
              <w:rPr>
                <w:rFonts w:cs="Arial"/>
              </w:rPr>
            </w:pPr>
            <w:r>
              <w:rPr>
                <w:rFonts w:cs="Arial"/>
              </w:rPr>
              <w:t xml:space="preserve">A: </w:t>
            </w:r>
            <w:r w:rsidR="006B32BB" w:rsidRPr="000C254C">
              <w:rPr>
                <w:rFonts w:cs="Arial"/>
              </w:rPr>
              <w:t>11,</w:t>
            </w:r>
            <w:r w:rsidR="005C63EB">
              <w:rPr>
                <w:rFonts w:cs="Arial"/>
              </w:rPr>
              <w:t>989</w:t>
            </w:r>
          </w:p>
          <w:p w14:paraId="59B7DA1E" w14:textId="77777777" w:rsidR="00ED638A" w:rsidRDefault="00ED638A" w:rsidP="006B32BB">
            <w:pPr>
              <w:spacing w:before="240"/>
              <w:jc w:val="center"/>
            </w:pPr>
          </w:p>
          <w:p w14:paraId="0EA4B4B1" w14:textId="54D0D6E8" w:rsidR="006B32BB" w:rsidRPr="000C254C" w:rsidRDefault="00ED638A" w:rsidP="006B32BB">
            <w:pPr>
              <w:spacing w:before="240"/>
              <w:jc w:val="center"/>
            </w:pPr>
            <w:r>
              <w:t>B:</w:t>
            </w:r>
            <w:r w:rsidR="00EE593B">
              <w:t xml:space="preserve"> 11, 526</w:t>
            </w:r>
          </w:p>
        </w:tc>
        <w:tc>
          <w:tcPr>
            <w:tcW w:w="1280" w:type="dxa"/>
            <w:vAlign w:val="center"/>
          </w:tcPr>
          <w:p w14:paraId="2CE16082" w14:textId="77777777" w:rsidR="006B32BB" w:rsidRDefault="00ED638A" w:rsidP="006B32BB">
            <w:pPr>
              <w:spacing w:before="240"/>
              <w:jc w:val="center"/>
              <w:rPr>
                <w:rFonts w:cs="Arial"/>
              </w:rPr>
            </w:pPr>
            <w:r>
              <w:rPr>
                <w:rFonts w:cs="Arial"/>
              </w:rPr>
              <w:t xml:space="preserve">A: </w:t>
            </w:r>
            <w:r w:rsidR="006B32BB" w:rsidRPr="000C254C">
              <w:rPr>
                <w:rFonts w:cs="Arial"/>
              </w:rPr>
              <w:t>1%</w:t>
            </w:r>
          </w:p>
          <w:p w14:paraId="00D97A87" w14:textId="77777777" w:rsidR="00ED638A" w:rsidRDefault="00ED638A" w:rsidP="006B32BB">
            <w:pPr>
              <w:spacing w:before="240"/>
              <w:jc w:val="center"/>
              <w:rPr>
                <w:rFonts w:cs="Arial"/>
              </w:rPr>
            </w:pPr>
          </w:p>
          <w:p w14:paraId="5FB4995B" w14:textId="59D06187" w:rsidR="006B32BB" w:rsidRPr="000C254C" w:rsidRDefault="00ED638A" w:rsidP="006B32BB">
            <w:pPr>
              <w:spacing w:before="240"/>
              <w:jc w:val="center"/>
            </w:pPr>
            <w:r>
              <w:rPr>
                <w:rFonts w:cs="Arial"/>
              </w:rPr>
              <w:t>B:</w:t>
            </w:r>
            <w:r w:rsidR="00696C81">
              <w:rPr>
                <w:rFonts w:cs="Arial"/>
              </w:rPr>
              <w:t xml:space="preserve"> </w:t>
            </w:r>
            <w:r w:rsidR="00EE593B">
              <w:rPr>
                <w:rFonts w:cs="Arial"/>
              </w:rPr>
              <w:t>-3%</w:t>
            </w:r>
          </w:p>
        </w:tc>
        <w:tc>
          <w:tcPr>
            <w:tcW w:w="9375" w:type="dxa"/>
          </w:tcPr>
          <w:p w14:paraId="035EF193" w14:textId="77777777" w:rsidR="006B32BB" w:rsidRDefault="006B32BB" w:rsidP="006B32BB">
            <w:pPr>
              <w:ind w:left="60"/>
            </w:pPr>
          </w:p>
          <w:p w14:paraId="6C664C85" w14:textId="3155926F" w:rsidR="006B32BB" w:rsidRDefault="006B32BB" w:rsidP="00587F07">
            <w:r>
              <w:t xml:space="preserve">The </w:t>
            </w:r>
            <w:r w:rsidR="00696C81">
              <w:t>d</w:t>
            </w:r>
            <w:r>
              <w:t>ivision of Earlswood and Reigate South lies to the south of Reigate and Redhill and includes a number of distinct communities</w:t>
            </w:r>
            <w:r w:rsidR="004078CA">
              <w:t>, Woodhatch and South Park, South Ear</w:t>
            </w:r>
            <w:r w:rsidR="006D7428">
              <w:t>lswood</w:t>
            </w:r>
            <w:r w:rsidR="00C21EF9">
              <w:t xml:space="preserve"> and Royal Earlswood.</w:t>
            </w:r>
          </w:p>
          <w:p w14:paraId="6414CCFC" w14:textId="77777777" w:rsidR="006B32BB" w:rsidRDefault="006B32BB" w:rsidP="00C21EF9"/>
          <w:p w14:paraId="0D08C89A" w14:textId="6BE19639" w:rsidR="006B32BB" w:rsidRDefault="006B32BB" w:rsidP="00587F07">
            <w:r>
              <w:t xml:space="preserve">The southern boundary of the </w:t>
            </w:r>
            <w:r w:rsidR="00696C81">
              <w:t>d</w:t>
            </w:r>
            <w:r>
              <w:t xml:space="preserve">ivision follows the border of Salfords and Sidlow Parish while the east and west are defined by the boundaries with Tandridge and Mole Valley respectively. </w:t>
            </w:r>
            <w:r w:rsidR="00864B3A">
              <w:t>I</w:t>
            </w:r>
            <w:r w:rsidR="00587F07">
              <w:t>n both options, it</w:t>
            </w:r>
            <w:r w:rsidR="00864B3A">
              <w:t xml:space="preserve"> is suggested that the northern boundary of the </w:t>
            </w:r>
            <w:r w:rsidR="00696C81">
              <w:t>d</w:t>
            </w:r>
            <w:r w:rsidR="00864B3A">
              <w:t>ivision is amended slightly to inc</w:t>
            </w:r>
            <w:r w:rsidR="00EA7C4F">
              <w:t xml:space="preserve">lude </w:t>
            </w:r>
            <w:r w:rsidR="00424F1F">
              <w:t>p</w:t>
            </w:r>
            <w:r w:rsidR="00EA7C4F">
              <w:t xml:space="preserve">olling </w:t>
            </w:r>
            <w:r w:rsidR="00424F1F">
              <w:t>d</w:t>
            </w:r>
            <w:r w:rsidR="00EA7C4F">
              <w:t>istrict SP</w:t>
            </w:r>
            <w:r w:rsidR="00995B85">
              <w:t xml:space="preserve">W2, as this would </w:t>
            </w:r>
            <w:r w:rsidR="000531F3">
              <w:t>better align communities and improve c0-terminosity with the Boro</w:t>
            </w:r>
            <w:r w:rsidR="006334D1">
              <w:t xml:space="preserve">ugh Ward Boundary. </w:t>
            </w:r>
          </w:p>
          <w:p w14:paraId="3790DFEA" w14:textId="4BEAE408" w:rsidR="00ED638A" w:rsidRDefault="00ED638A" w:rsidP="006B32BB">
            <w:pPr>
              <w:ind w:left="60"/>
            </w:pPr>
          </w:p>
          <w:p w14:paraId="0D3AE073" w14:textId="011F6C2A" w:rsidR="00ED638A" w:rsidRDefault="00480DA5" w:rsidP="006B32BB">
            <w:pPr>
              <w:ind w:left="60"/>
            </w:pPr>
            <w:r>
              <w:t xml:space="preserve">A further move is </w:t>
            </w:r>
            <w:r w:rsidR="00D851C0">
              <w:t xml:space="preserve">suggested </w:t>
            </w:r>
            <w:r>
              <w:t xml:space="preserve">in option B, so </w:t>
            </w:r>
            <w:r w:rsidR="00D851C0">
              <w:t>that</w:t>
            </w:r>
            <w:r w:rsidR="002933A6" w:rsidRPr="00153E62">
              <w:rPr>
                <w:color w:val="000000"/>
                <w:kern w:val="24"/>
                <w:szCs w:val="22"/>
              </w:rPr>
              <w:t xml:space="preserve"> HRE1 (Copsleigh Avenue part of Salfords and Sidlow PC)</w:t>
            </w:r>
            <w:r>
              <w:rPr>
                <w:color w:val="000000"/>
                <w:kern w:val="24"/>
                <w:szCs w:val="22"/>
              </w:rPr>
              <w:t xml:space="preserve"> moves</w:t>
            </w:r>
            <w:r w:rsidR="002933A6" w:rsidRPr="00153E62">
              <w:rPr>
                <w:color w:val="000000"/>
                <w:kern w:val="24"/>
                <w:szCs w:val="22"/>
              </w:rPr>
              <w:t xml:space="preserve"> from Earlswood and Reigate South </w:t>
            </w:r>
            <w:r>
              <w:rPr>
                <w:color w:val="000000"/>
                <w:kern w:val="24"/>
                <w:szCs w:val="22"/>
              </w:rPr>
              <w:t>into the proposed Horley East, Salfords and Sidlow division. This would mean that</w:t>
            </w:r>
            <w:r w:rsidR="002933A6" w:rsidRPr="00153E62">
              <w:rPr>
                <w:color w:val="000000"/>
                <w:kern w:val="24"/>
                <w:szCs w:val="22"/>
              </w:rPr>
              <w:t xml:space="preserve"> all of the </w:t>
            </w:r>
            <w:r w:rsidR="00F40955">
              <w:rPr>
                <w:color w:val="000000"/>
                <w:kern w:val="24"/>
                <w:szCs w:val="22"/>
              </w:rPr>
              <w:t>P</w:t>
            </w:r>
            <w:r w:rsidR="002933A6" w:rsidRPr="00153E62">
              <w:rPr>
                <w:color w:val="000000"/>
                <w:kern w:val="24"/>
                <w:szCs w:val="22"/>
              </w:rPr>
              <w:t xml:space="preserve">arish </w:t>
            </w:r>
            <w:r w:rsidR="00F40955">
              <w:rPr>
                <w:color w:val="000000"/>
                <w:kern w:val="24"/>
                <w:szCs w:val="22"/>
              </w:rPr>
              <w:t>C</w:t>
            </w:r>
            <w:r w:rsidR="002933A6" w:rsidRPr="00153E62">
              <w:rPr>
                <w:color w:val="000000"/>
                <w:kern w:val="24"/>
                <w:szCs w:val="22"/>
              </w:rPr>
              <w:t>ouncil area is in one division, not spread over two as is currently the case.</w:t>
            </w:r>
          </w:p>
          <w:p w14:paraId="25046263" w14:textId="77777777" w:rsidR="006B32BB" w:rsidRDefault="006B32BB" w:rsidP="006B32BB">
            <w:pPr>
              <w:pStyle w:val="BodyText2"/>
            </w:pPr>
          </w:p>
        </w:tc>
      </w:tr>
      <w:tr w:rsidR="006B32BB" w14:paraId="7B7C6780" w14:textId="77777777">
        <w:tc>
          <w:tcPr>
            <w:tcW w:w="3045" w:type="dxa"/>
          </w:tcPr>
          <w:p w14:paraId="4B534406" w14:textId="77777777" w:rsidR="00FA512C" w:rsidRDefault="00FA512C" w:rsidP="00FA512C">
            <w:pPr>
              <w:spacing w:before="240"/>
              <w:jc w:val="center"/>
              <w:rPr>
                <w:b/>
                <w:bCs/>
              </w:rPr>
            </w:pPr>
          </w:p>
          <w:p w14:paraId="53D5CD57" w14:textId="77777777" w:rsidR="00FA512C" w:rsidRDefault="00FA512C" w:rsidP="00FA512C">
            <w:pPr>
              <w:spacing w:before="240"/>
              <w:jc w:val="center"/>
              <w:rPr>
                <w:b/>
                <w:bCs/>
              </w:rPr>
            </w:pPr>
          </w:p>
          <w:p w14:paraId="6AB32478" w14:textId="77777777" w:rsidR="00FA512C" w:rsidRDefault="00FA512C" w:rsidP="00FA512C">
            <w:pPr>
              <w:spacing w:before="240"/>
              <w:jc w:val="center"/>
              <w:rPr>
                <w:b/>
                <w:bCs/>
              </w:rPr>
            </w:pPr>
          </w:p>
          <w:p w14:paraId="720C80BD" w14:textId="77777777" w:rsidR="00FA512C" w:rsidRDefault="00FA512C" w:rsidP="00FA512C">
            <w:pPr>
              <w:spacing w:before="240"/>
              <w:jc w:val="center"/>
              <w:rPr>
                <w:b/>
                <w:bCs/>
              </w:rPr>
            </w:pPr>
          </w:p>
          <w:p w14:paraId="5D6EAAEA" w14:textId="77777777" w:rsidR="00FA512C" w:rsidRDefault="00FA512C" w:rsidP="00FA512C">
            <w:pPr>
              <w:spacing w:before="240"/>
              <w:jc w:val="center"/>
              <w:rPr>
                <w:b/>
                <w:bCs/>
              </w:rPr>
            </w:pPr>
          </w:p>
          <w:p w14:paraId="022BFF2A" w14:textId="77777777" w:rsidR="00FA512C" w:rsidRDefault="00FA512C" w:rsidP="00FA512C">
            <w:pPr>
              <w:spacing w:before="240"/>
              <w:jc w:val="center"/>
              <w:rPr>
                <w:b/>
                <w:bCs/>
              </w:rPr>
            </w:pPr>
          </w:p>
          <w:p w14:paraId="358B6436" w14:textId="77777777" w:rsidR="00FA512C" w:rsidRDefault="00FA512C" w:rsidP="00FA512C">
            <w:pPr>
              <w:spacing w:before="240"/>
              <w:jc w:val="center"/>
              <w:rPr>
                <w:b/>
                <w:bCs/>
              </w:rPr>
            </w:pPr>
          </w:p>
          <w:p w14:paraId="21CA1C91" w14:textId="3F903951" w:rsidR="006B32BB" w:rsidRDefault="009767D2" w:rsidP="00FA512C">
            <w:pPr>
              <w:spacing w:before="240"/>
              <w:jc w:val="center"/>
              <w:rPr>
                <w:b/>
                <w:bCs/>
              </w:rPr>
            </w:pPr>
            <w:r>
              <w:rPr>
                <w:b/>
                <w:bCs/>
              </w:rPr>
              <w:t xml:space="preserve">Option A: </w:t>
            </w:r>
            <w:r w:rsidR="006B32BB" w:rsidRPr="001902D7">
              <w:rPr>
                <w:b/>
                <w:bCs/>
              </w:rPr>
              <w:t>Horley East</w:t>
            </w:r>
          </w:p>
          <w:p w14:paraId="3832DA16" w14:textId="77777777" w:rsidR="00FA512C" w:rsidRDefault="00FA512C" w:rsidP="00FA512C">
            <w:pPr>
              <w:spacing w:before="240"/>
              <w:jc w:val="center"/>
              <w:rPr>
                <w:b/>
                <w:bCs/>
              </w:rPr>
            </w:pPr>
          </w:p>
          <w:p w14:paraId="27D94B1E" w14:textId="77777777" w:rsidR="00FA512C" w:rsidRDefault="00FA512C" w:rsidP="00FA512C">
            <w:pPr>
              <w:spacing w:before="240"/>
              <w:jc w:val="center"/>
              <w:rPr>
                <w:b/>
                <w:bCs/>
              </w:rPr>
            </w:pPr>
            <w:r>
              <w:rPr>
                <w:b/>
                <w:bCs/>
              </w:rPr>
              <w:t>Option B: Horley West</w:t>
            </w:r>
          </w:p>
          <w:p w14:paraId="2D41EDB0" w14:textId="77777777" w:rsidR="00B863CC" w:rsidRDefault="00B863CC" w:rsidP="00FA512C">
            <w:pPr>
              <w:spacing w:before="240"/>
              <w:jc w:val="center"/>
              <w:rPr>
                <w:b/>
                <w:bCs/>
              </w:rPr>
            </w:pPr>
          </w:p>
          <w:p w14:paraId="764ACBB1" w14:textId="5695B4E1" w:rsidR="006B32BB" w:rsidRPr="003207FD" w:rsidRDefault="003207FD" w:rsidP="006B32BB">
            <w:pPr>
              <w:spacing w:before="240"/>
              <w:jc w:val="center"/>
              <w:rPr>
                <w:b/>
                <w:i/>
              </w:rPr>
            </w:pPr>
            <w:r>
              <w:rPr>
                <w:b/>
                <w:bCs/>
                <w:i/>
                <w:iCs/>
              </w:rPr>
              <w:t>Currently known as Horley East</w:t>
            </w:r>
          </w:p>
        </w:tc>
        <w:tc>
          <w:tcPr>
            <w:tcW w:w="1321" w:type="dxa"/>
            <w:vAlign w:val="center"/>
          </w:tcPr>
          <w:p w14:paraId="28437167" w14:textId="08032786" w:rsidR="006B32BB" w:rsidRDefault="009767D2" w:rsidP="006B32BB">
            <w:pPr>
              <w:spacing w:before="240"/>
              <w:jc w:val="center"/>
              <w:rPr>
                <w:rFonts w:cs="Arial"/>
              </w:rPr>
            </w:pPr>
            <w:r>
              <w:rPr>
                <w:rFonts w:cs="Arial"/>
              </w:rPr>
              <w:t xml:space="preserve">A: </w:t>
            </w:r>
            <w:r w:rsidR="00EA2EBE">
              <w:rPr>
                <w:rFonts w:cs="Arial"/>
              </w:rPr>
              <w:t>12,177</w:t>
            </w:r>
          </w:p>
          <w:p w14:paraId="7C0FF759" w14:textId="77777777" w:rsidR="00FA512C" w:rsidRDefault="00FA512C" w:rsidP="006B32BB">
            <w:pPr>
              <w:spacing w:before="240"/>
              <w:jc w:val="center"/>
              <w:rPr>
                <w:rFonts w:cs="Arial"/>
              </w:rPr>
            </w:pPr>
          </w:p>
          <w:p w14:paraId="2E75456E" w14:textId="5921A6DC" w:rsidR="006B32BB" w:rsidRPr="000C254C" w:rsidRDefault="00FA512C" w:rsidP="006B32BB">
            <w:pPr>
              <w:spacing w:before="240"/>
              <w:jc w:val="center"/>
            </w:pPr>
            <w:r>
              <w:rPr>
                <w:rFonts w:cs="Arial"/>
              </w:rPr>
              <w:t>B:</w:t>
            </w:r>
          </w:p>
        </w:tc>
        <w:tc>
          <w:tcPr>
            <w:tcW w:w="1280" w:type="dxa"/>
            <w:vAlign w:val="center"/>
          </w:tcPr>
          <w:p w14:paraId="77D66A97" w14:textId="4066CC71" w:rsidR="006B32BB" w:rsidRDefault="009767D2" w:rsidP="006B32BB">
            <w:pPr>
              <w:spacing w:before="240"/>
              <w:jc w:val="center"/>
              <w:rPr>
                <w:rFonts w:cs="Arial"/>
              </w:rPr>
            </w:pPr>
            <w:r>
              <w:rPr>
                <w:rFonts w:cs="Arial"/>
              </w:rPr>
              <w:t xml:space="preserve">A: </w:t>
            </w:r>
            <w:r w:rsidR="00EA2EBE">
              <w:rPr>
                <w:rFonts w:cs="Arial"/>
              </w:rPr>
              <w:t>2</w:t>
            </w:r>
            <w:r w:rsidR="006B32BB" w:rsidRPr="000C254C">
              <w:rPr>
                <w:rFonts w:cs="Arial"/>
              </w:rPr>
              <w:t>%</w:t>
            </w:r>
          </w:p>
          <w:p w14:paraId="42BDD78D" w14:textId="77777777" w:rsidR="00FA512C" w:rsidRDefault="00FA512C" w:rsidP="006B32BB">
            <w:pPr>
              <w:spacing w:before="240"/>
              <w:jc w:val="center"/>
              <w:rPr>
                <w:rFonts w:cs="Arial"/>
              </w:rPr>
            </w:pPr>
          </w:p>
          <w:p w14:paraId="63F557D0" w14:textId="425E0FA5" w:rsidR="006B32BB" w:rsidRPr="00FA512C" w:rsidRDefault="00FA512C" w:rsidP="00FA512C">
            <w:pPr>
              <w:spacing w:before="240"/>
              <w:rPr>
                <w:rFonts w:cs="Arial"/>
              </w:rPr>
            </w:pPr>
            <w:r>
              <w:rPr>
                <w:rFonts w:cs="Arial"/>
              </w:rPr>
              <w:t>B:</w:t>
            </w:r>
          </w:p>
        </w:tc>
        <w:tc>
          <w:tcPr>
            <w:tcW w:w="9375" w:type="dxa"/>
          </w:tcPr>
          <w:p w14:paraId="43878298" w14:textId="77777777" w:rsidR="006B32BB" w:rsidRPr="00B3004B" w:rsidRDefault="006B32BB" w:rsidP="00F40955">
            <w:pPr>
              <w:rPr>
                <w:rFonts w:cs="Arial"/>
                <w:highlight w:val="yellow"/>
              </w:rPr>
            </w:pPr>
          </w:p>
          <w:p w14:paraId="4CD522B8" w14:textId="32F7D88D" w:rsidR="00921E3E" w:rsidRDefault="00921E3E" w:rsidP="004B07E0">
            <w:pPr>
              <w:spacing w:line="216" w:lineRule="auto"/>
              <w:rPr>
                <w:rFonts w:cs="Arial"/>
                <w:color w:val="000000"/>
                <w:kern w:val="24"/>
                <w:szCs w:val="22"/>
              </w:rPr>
            </w:pPr>
            <w:r>
              <w:rPr>
                <w:rFonts w:cs="Arial"/>
                <w:color w:val="000000"/>
                <w:kern w:val="24"/>
                <w:szCs w:val="22"/>
              </w:rPr>
              <w:t xml:space="preserve">There are two </w:t>
            </w:r>
            <w:r w:rsidR="00D55A99">
              <w:rPr>
                <w:rFonts w:cs="Arial"/>
                <w:color w:val="000000"/>
                <w:kern w:val="24"/>
                <w:szCs w:val="22"/>
              </w:rPr>
              <w:t>suggested options for how the Horley divisions could be drawn going forwards.</w:t>
            </w:r>
          </w:p>
          <w:p w14:paraId="04E57286" w14:textId="77777777" w:rsidR="00921E3E" w:rsidRDefault="00921E3E" w:rsidP="004B07E0">
            <w:pPr>
              <w:spacing w:line="216" w:lineRule="auto"/>
              <w:rPr>
                <w:rFonts w:cs="Arial"/>
                <w:color w:val="000000"/>
                <w:kern w:val="24"/>
                <w:szCs w:val="22"/>
              </w:rPr>
            </w:pPr>
          </w:p>
          <w:p w14:paraId="60C94C1D" w14:textId="6DD8358C" w:rsidR="004B07E0" w:rsidRPr="00FA512C" w:rsidRDefault="004B07E0" w:rsidP="004B07E0">
            <w:pPr>
              <w:spacing w:line="216" w:lineRule="auto"/>
              <w:rPr>
                <w:rFonts w:cs="Arial"/>
                <w:color w:val="000000"/>
                <w:kern w:val="24"/>
                <w:szCs w:val="22"/>
              </w:rPr>
            </w:pPr>
            <w:r w:rsidRPr="00FA512C">
              <w:rPr>
                <w:rFonts w:cs="Arial"/>
                <w:color w:val="000000"/>
                <w:kern w:val="24"/>
                <w:szCs w:val="22"/>
              </w:rPr>
              <w:t xml:space="preserve">Option A: </w:t>
            </w:r>
            <w:r w:rsidR="006D2CA2" w:rsidRPr="00FA512C">
              <w:rPr>
                <w:rFonts w:cs="Arial"/>
                <w:color w:val="000000"/>
                <w:kern w:val="24"/>
                <w:szCs w:val="22"/>
              </w:rPr>
              <w:t xml:space="preserve">This option would </w:t>
            </w:r>
            <w:r w:rsidRPr="00FA512C">
              <w:rPr>
                <w:rFonts w:cs="Arial"/>
                <w:color w:val="000000"/>
                <w:kern w:val="24"/>
                <w:szCs w:val="22"/>
              </w:rPr>
              <w:t>move the county division boundary to align with the A23 Road as opposed to its existing barrier of the railway line; meaning polling district</w:t>
            </w:r>
            <w:r w:rsidRPr="0065099E">
              <w:rPr>
                <w:rFonts w:cs="Arial"/>
                <w:color w:val="000000"/>
                <w:kern w:val="24"/>
                <w:szCs w:val="22"/>
              </w:rPr>
              <w:t xml:space="preserve"> HRE4</w:t>
            </w:r>
            <w:r w:rsidRPr="00FA512C">
              <w:rPr>
                <w:rFonts w:cs="Arial"/>
                <w:b/>
                <w:bCs/>
                <w:color w:val="000000"/>
                <w:kern w:val="24"/>
                <w:szCs w:val="22"/>
              </w:rPr>
              <w:t xml:space="preserve"> </w:t>
            </w:r>
            <w:r w:rsidR="0065099E">
              <w:rPr>
                <w:rFonts w:cs="Arial"/>
                <w:color w:val="000000"/>
                <w:kern w:val="24"/>
                <w:szCs w:val="22"/>
              </w:rPr>
              <w:t xml:space="preserve">would be </w:t>
            </w:r>
            <w:r w:rsidRPr="00FA512C">
              <w:rPr>
                <w:rFonts w:cs="Arial"/>
                <w:color w:val="000000"/>
                <w:kern w:val="24"/>
                <w:szCs w:val="22"/>
              </w:rPr>
              <w:t>moved from Horley West, Salfords and Sidlow into Horley East division</w:t>
            </w:r>
            <w:r w:rsidR="007C372D" w:rsidRPr="00FA512C">
              <w:rPr>
                <w:rFonts w:cs="Arial"/>
                <w:color w:val="000000"/>
                <w:kern w:val="24"/>
                <w:szCs w:val="22"/>
              </w:rPr>
              <w:t xml:space="preserve">. This would mean that </w:t>
            </w:r>
            <w:r w:rsidRPr="00FA512C">
              <w:rPr>
                <w:rFonts w:cs="Arial"/>
                <w:color w:val="000000"/>
                <w:kern w:val="24"/>
                <w:szCs w:val="22"/>
              </w:rPr>
              <w:t>Horley West, Salfords and Sidlow w</w:t>
            </w:r>
            <w:r w:rsidR="007C372D" w:rsidRPr="00FA512C">
              <w:rPr>
                <w:rFonts w:cs="Arial"/>
                <w:color w:val="000000"/>
                <w:kern w:val="24"/>
                <w:szCs w:val="22"/>
              </w:rPr>
              <w:t xml:space="preserve">ould move </w:t>
            </w:r>
            <w:r w:rsidRPr="00FA512C">
              <w:rPr>
                <w:rFonts w:cs="Arial"/>
                <w:color w:val="000000"/>
                <w:kern w:val="24"/>
                <w:szCs w:val="22"/>
              </w:rPr>
              <w:t xml:space="preserve">to a +3% variance (from +9%) and Horley East to +2% variance (from -4%). </w:t>
            </w:r>
          </w:p>
          <w:p w14:paraId="11C21DC3" w14:textId="5EFC71F1" w:rsidR="004B07E0" w:rsidRPr="00FA512C" w:rsidRDefault="004B07E0" w:rsidP="004B07E0">
            <w:pPr>
              <w:spacing w:line="216" w:lineRule="auto"/>
              <w:rPr>
                <w:rFonts w:cs="Arial"/>
                <w:color w:val="000000"/>
                <w:kern w:val="24"/>
                <w:szCs w:val="22"/>
              </w:rPr>
            </w:pPr>
          </w:p>
          <w:p w14:paraId="34A79C0E" w14:textId="332B1E14" w:rsidR="00040573" w:rsidRDefault="004B07E0" w:rsidP="00284B07">
            <w:pPr>
              <w:spacing w:line="216" w:lineRule="auto"/>
              <w:rPr>
                <w:rFonts w:cs="Arial"/>
                <w:color w:val="000000"/>
                <w:kern w:val="24"/>
                <w:szCs w:val="22"/>
              </w:rPr>
            </w:pPr>
            <w:r w:rsidRPr="00FA512C">
              <w:rPr>
                <w:rFonts w:cs="Arial"/>
                <w:color w:val="000000"/>
                <w:kern w:val="24"/>
                <w:szCs w:val="22"/>
              </w:rPr>
              <w:t>Option B:</w:t>
            </w:r>
            <w:r w:rsidR="003A3AC8" w:rsidRPr="00FA512C">
              <w:rPr>
                <w:rFonts w:cs="Arial"/>
                <w:color w:val="000000"/>
                <w:kern w:val="24"/>
                <w:szCs w:val="22"/>
              </w:rPr>
              <w:t xml:space="preserve"> This option is more of a re-draw</w:t>
            </w:r>
            <w:r w:rsidR="003728AB" w:rsidRPr="00FA512C">
              <w:rPr>
                <w:rFonts w:cs="Arial"/>
                <w:color w:val="000000"/>
                <w:kern w:val="24"/>
                <w:szCs w:val="22"/>
              </w:rPr>
              <w:t xml:space="preserve"> which looks to improve co-terminosity between Parish, </w:t>
            </w:r>
            <w:r w:rsidR="009F70BA" w:rsidRPr="00FA512C">
              <w:rPr>
                <w:rFonts w:cs="Arial"/>
                <w:color w:val="000000"/>
                <w:kern w:val="24"/>
                <w:szCs w:val="22"/>
              </w:rPr>
              <w:t>Borough and County Councils.</w:t>
            </w:r>
            <w:r w:rsidR="00DA2F12" w:rsidRPr="00FA512C">
              <w:rPr>
                <w:rFonts w:cs="Arial"/>
                <w:color w:val="000000"/>
                <w:kern w:val="24"/>
                <w:szCs w:val="22"/>
              </w:rPr>
              <w:t xml:space="preserve"> Currently residents of Salfords and Sidlow </w:t>
            </w:r>
            <w:r w:rsidR="0065099E">
              <w:rPr>
                <w:rFonts w:cs="Arial"/>
                <w:color w:val="000000"/>
                <w:kern w:val="24"/>
                <w:szCs w:val="22"/>
              </w:rPr>
              <w:t>P</w:t>
            </w:r>
            <w:r w:rsidR="00DA2F12" w:rsidRPr="00FA512C">
              <w:rPr>
                <w:rFonts w:cs="Arial"/>
                <w:color w:val="000000"/>
                <w:kern w:val="24"/>
                <w:szCs w:val="22"/>
              </w:rPr>
              <w:t xml:space="preserve">arish </w:t>
            </w:r>
            <w:r w:rsidR="0065099E">
              <w:rPr>
                <w:rFonts w:cs="Arial"/>
                <w:color w:val="000000"/>
                <w:kern w:val="24"/>
                <w:szCs w:val="22"/>
              </w:rPr>
              <w:t>C</w:t>
            </w:r>
            <w:r w:rsidR="00DA2F12" w:rsidRPr="00FA512C">
              <w:rPr>
                <w:rFonts w:cs="Arial"/>
                <w:color w:val="000000"/>
                <w:kern w:val="24"/>
                <w:szCs w:val="22"/>
              </w:rPr>
              <w:t>ouncil have been allocated</w:t>
            </w:r>
            <w:r w:rsidR="00AF16E2">
              <w:rPr>
                <w:rFonts w:cs="Arial"/>
                <w:color w:val="000000"/>
                <w:kern w:val="24"/>
                <w:szCs w:val="22"/>
              </w:rPr>
              <w:t xml:space="preserve"> to</w:t>
            </w:r>
            <w:r w:rsidR="00DA2F12" w:rsidRPr="00FA512C">
              <w:rPr>
                <w:rFonts w:cs="Arial"/>
                <w:color w:val="000000"/>
                <w:kern w:val="24"/>
                <w:szCs w:val="22"/>
              </w:rPr>
              <w:t xml:space="preserve"> different places for different things, which does not support community cohesion. This means that the </w:t>
            </w:r>
            <w:r w:rsidR="00040573">
              <w:rPr>
                <w:rFonts w:cs="Arial"/>
                <w:color w:val="000000"/>
                <w:kern w:val="24"/>
                <w:szCs w:val="22"/>
              </w:rPr>
              <w:t>p</w:t>
            </w:r>
            <w:r w:rsidR="00DA2F12" w:rsidRPr="00FA512C">
              <w:rPr>
                <w:rFonts w:cs="Arial"/>
                <w:color w:val="000000"/>
                <w:kern w:val="24"/>
                <w:szCs w:val="22"/>
              </w:rPr>
              <w:t xml:space="preserve">arish </w:t>
            </w:r>
            <w:r w:rsidR="00040573">
              <w:rPr>
                <w:rFonts w:cs="Arial"/>
                <w:color w:val="000000"/>
                <w:kern w:val="24"/>
                <w:szCs w:val="22"/>
              </w:rPr>
              <w:t>c</w:t>
            </w:r>
            <w:r w:rsidR="00DA2F12" w:rsidRPr="00FA512C">
              <w:rPr>
                <w:rFonts w:cs="Arial"/>
                <w:color w:val="000000"/>
                <w:kern w:val="24"/>
                <w:szCs w:val="22"/>
              </w:rPr>
              <w:t xml:space="preserve">ouncil has </w:t>
            </w:r>
            <w:r w:rsidR="00C9275B">
              <w:rPr>
                <w:rFonts w:cs="Arial"/>
                <w:color w:val="000000"/>
                <w:kern w:val="24"/>
                <w:szCs w:val="22"/>
              </w:rPr>
              <w:t xml:space="preserve">had </w:t>
            </w:r>
            <w:r w:rsidR="00DA2F12" w:rsidRPr="00FA512C">
              <w:rPr>
                <w:rFonts w:cs="Arial"/>
                <w:color w:val="000000"/>
                <w:kern w:val="24"/>
                <w:szCs w:val="22"/>
              </w:rPr>
              <w:t xml:space="preserve">to reach out for support from two different borough councillors and two different county councillors based on two different splits of their geography across an area represented by </w:t>
            </w:r>
            <w:r w:rsidR="006C1F6C">
              <w:rPr>
                <w:rFonts w:cs="Arial"/>
                <w:color w:val="000000"/>
                <w:kern w:val="24"/>
                <w:szCs w:val="22"/>
              </w:rPr>
              <w:t>nine</w:t>
            </w:r>
            <w:r w:rsidR="00DA2F12" w:rsidRPr="00FA512C">
              <w:rPr>
                <w:rFonts w:cs="Arial"/>
                <w:color w:val="000000"/>
                <w:kern w:val="24"/>
                <w:szCs w:val="22"/>
              </w:rPr>
              <w:t xml:space="preserve"> different borough councillors and </w:t>
            </w:r>
            <w:r w:rsidR="00C9275B">
              <w:rPr>
                <w:rFonts w:cs="Arial"/>
                <w:color w:val="000000"/>
                <w:kern w:val="24"/>
                <w:szCs w:val="22"/>
              </w:rPr>
              <w:t>three</w:t>
            </w:r>
            <w:r w:rsidR="00DA2F12" w:rsidRPr="00FA512C">
              <w:rPr>
                <w:rFonts w:cs="Arial"/>
                <w:color w:val="000000"/>
                <w:kern w:val="24"/>
                <w:szCs w:val="22"/>
              </w:rPr>
              <w:t xml:space="preserve"> different county councillors</w:t>
            </w:r>
            <w:r w:rsidR="008D2249">
              <w:rPr>
                <w:rFonts w:cs="Arial"/>
                <w:color w:val="000000"/>
                <w:kern w:val="24"/>
                <w:szCs w:val="22"/>
              </w:rPr>
              <w:t>!</w:t>
            </w:r>
            <w:r w:rsidR="00DA2F12" w:rsidRPr="00FA512C">
              <w:rPr>
                <w:rFonts w:cs="Arial"/>
                <w:color w:val="000000"/>
                <w:kern w:val="24"/>
                <w:szCs w:val="22"/>
              </w:rPr>
              <w:t xml:space="preserve"> </w:t>
            </w:r>
          </w:p>
          <w:p w14:paraId="1DCC0440" w14:textId="77777777" w:rsidR="00040573" w:rsidRDefault="00040573" w:rsidP="00284B07">
            <w:pPr>
              <w:spacing w:line="216" w:lineRule="auto"/>
              <w:rPr>
                <w:rFonts w:cs="Arial"/>
                <w:color w:val="000000"/>
                <w:kern w:val="24"/>
                <w:szCs w:val="22"/>
              </w:rPr>
            </w:pPr>
          </w:p>
          <w:p w14:paraId="771CA8EB" w14:textId="77777777" w:rsidR="00040573" w:rsidRDefault="00040573" w:rsidP="00284B07">
            <w:pPr>
              <w:spacing w:line="216" w:lineRule="auto"/>
              <w:rPr>
                <w:rFonts w:cs="Arial"/>
                <w:color w:val="000000"/>
                <w:kern w:val="24"/>
                <w:szCs w:val="22"/>
              </w:rPr>
            </w:pPr>
            <w:r>
              <w:rPr>
                <w:rFonts w:cs="Arial"/>
                <w:color w:val="000000"/>
                <w:kern w:val="24"/>
                <w:szCs w:val="22"/>
              </w:rPr>
              <w:t xml:space="preserve">Option B would: </w:t>
            </w:r>
          </w:p>
          <w:p w14:paraId="7E0F7006" w14:textId="632AAC30" w:rsidR="003A3AC8" w:rsidRPr="00FA512C" w:rsidRDefault="00DA2F12" w:rsidP="00284B07">
            <w:pPr>
              <w:spacing w:line="216" w:lineRule="auto"/>
              <w:rPr>
                <w:rFonts w:cs="Arial"/>
                <w:color w:val="000000"/>
                <w:kern w:val="24"/>
                <w:szCs w:val="22"/>
              </w:rPr>
            </w:pPr>
            <w:r w:rsidRPr="00FA512C">
              <w:rPr>
                <w:rFonts w:cs="Arial"/>
                <w:color w:val="000000"/>
                <w:kern w:val="24"/>
                <w:szCs w:val="22"/>
              </w:rPr>
              <w:tab/>
            </w:r>
            <w:r w:rsidRPr="00FA512C">
              <w:rPr>
                <w:rFonts w:cs="Arial"/>
                <w:color w:val="000000"/>
                <w:kern w:val="24"/>
                <w:szCs w:val="22"/>
              </w:rPr>
              <w:tab/>
            </w:r>
            <w:r w:rsidRPr="00FA512C">
              <w:rPr>
                <w:rFonts w:cs="Arial"/>
                <w:color w:val="000000"/>
                <w:kern w:val="24"/>
                <w:szCs w:val="22"/>
              </w:rPr>
              <w:tab/>
            </w:r>
          </w:p>
          <w:p w14:paraId="166A8A1F" w14:textId="7EC1C0BB" w:rsidR="00284B07" w:rsidRPr="00040573" w:rsidRDefault="00284B07" w:rsidP="003A3AC8">
            <w:pPr>
              <w:pStyle w:val="ListParagraph"/>
              <w:numPr>
                <w:ilvl w:val="0"/>
                <w:numId w:val="37"/>
              </w:numPr>
              <w:spacing w:line="216" w:lineRule="auto"/>
              <w:rPr>
                <w:rFonts w:ascii="Arial" w:hAnsi="Arial" w:cs="Arial"/>
                <w:color w:val="000000"/>
                <w:kern w:val="24"/>
                <w:sz w:val="22"/>
                <w:szCs w:val="22"/>
              </w:rPr>
            </w:pPr>
            <w:r w:rsidRPr="00040573">
              <w:rPr>
                <w:rFonts w:ascii="Arial" w:hAnsi="Arial" w:cs="Arial"/>
                <w:color w:val="000000"/>
                <w:kern w:val="24"/>
                <w:sz w:val="22"/>
                <w:szCs w:val="22"/>
              </w:rPr>
              <w:t xml:space="preserve">Move HRE4 </w:t>
            </w:r>
            <w:r w:rsidR="003A3AC8" w:rsidRPr="00040573">
              <w:rPr>
                <w:rFonts w:ascii="Arial" w:hAnsi="Arial" w:cs="Arial"/>
                <w:color w:val="000000"/>
                <w:kern w:val="24"/>
                <w:sz w:val="22"/>
                <w:szCs w:val="22"/>
              </w:rPr>
              <w:t>(as above)</w:t>
            </w:r>
            <w:r w:rsidRPr="00040573">
              <w:rPr>
                <w:rFonts w:ascii="Arial" w:hAnsi="Arial" w:cs="Arial"/>
                <w:color w:val="000000"/>
                <w:kern w:val="24"/>
                <w:sz w:val="22"/>
                <w:szCs w:val="22"/>
              </w:rPr>
              <w:tab/>
            </w:r>
            <w:r w:rsidRPr="00040573">
              <w:rPr>
                <w:rFonts w:ascii="Arial" w:hAnsi="Arial" w:cs="Arial"/>
                <w:color w:val="000000"/>
                <w:kern w:val="24"/>
                <w:sz w:val="22"/>
                <w:szCs w:val="22"/>
              </w:rPr>
              <w:tab/>
            </w:r>
            <w:r w:rsidRPr="00040573">
              <w:rPr>
                <w:rFonts w:ascii="Arial" w:hAnsi="Arial" w:cs="Arial"/>
                <w:color w:val="000000"/>
                <w:kern w:val="24"/>
                <w:sz w:val="22"/>
                <w:szCs w:val="22"/>
              </w:rPr>
              <w:tab/>
            </w:r>
          </w:p>
          <w:p w14:paraId="1041926B" w14:textId="36FB86B4" w:rsidR="00284B07" w:rsidRPr="00040573" w:rsidRDefault="00284B07" w:rsidP="003A3AC8">
            <w:pPr>
              <w:pStyle w:val="ListParagraph"/>
              <w:numPr>
                <w:ilvl w:val="0"/>
                <w:numId w:val="37"/>
              </w:numPr>
              <w:spacing w:line="216" w:lineRule="auto"/>
              <w:rPr>
                <w:rFonts w:ascii="Arial" w:hAnsi="Arial" w:cs="Arial"/>
                <w:color w:val="000000"/>
                <w:kern w:val="24"/>
                <w:sz w:val="22"/>
                <w:szCs w:val="22"/>
              </w:rPr>
            </w:pPr>
            <w:r w:rsidRPr="00040573">
              <w:rPr>
                <w:rFonts w:ascii="Arial" w:hAnsi="Arial" w:cs="Arial"/>
                <w:color w:val="000000"/>
                <w:kern w:val="24"/>
                <w:sz w:val="22"/>
                <w:szCs w:val="22"/>
              </w:rPr>
              <w:t>Move Salfords (HRE2) and Sidlow (HRW1) to Horley East so</w:t>
            </w:r>
            <w:r w:rsidR="003A3AC8" w:rsidRPr="00040573">
              <w:rPr>
                <w:rFonts w:ascii="Arial" w:hAnsi="Arial" w:cs="Arial"/>
                <w:color w:val="000000"/>
                <w:kern w:val="24"/>
                <w:sz w:val="22"/>
                <w:szCs w:val="22"/>
              </w:rPr>
              <w:t xml:space="preserve"> that</w:t>
            </w:r>
            <w:r w:rsidRPr="00040573">
              <w:rPr>
                <w:rFonts w:ascii="Arial" w:hAnsi="Arial" w:cs="Arial"/>
                <w:color w:val="000000"/>
                <w:kern w:val="24"/>
                <w:sz w:val="22"/>
                <w:szCs w:val="22"/>
              </w:rPr>
              <w:t xml:space="preserve"> </w:t>
            </w:r>
            <w:r w:rsidR="008D2249">
              <w:rPr>
                <w:rFonts w:ascii="Arial" w:hAnsi="Arial" w:cs="Arial"/>
                <w:color w:val="000000"/>
                <w:kern w:val="24"/>
                <w:sz w:val="22"/>
                <w:szCs w:val="22"/>
              </w:rPr>
              <w:t>b</w:t>
            </w:r>
            <w:r w:rsidRPr="00040573">
              <w:rPr>
                <w:rFonts w:ascii="Arial" w:hAnsi="Arial" w:cs="Arial"/>
                <w:color w:val="000000"/>
                <w:kern w:val="24"/>
                <w:sz w:val="22"/>
                <w:szCs w:val="22"/>
              </w:rPr>
              <w:t xml:space="preserve">orough and </w:t>
            </w:r>
            <w:r w:rsidR="008D2249">
              <w:rPr>
                <w:rFonts w:ascii="Arial" w:hAnsi="Arial" w:cs="Arial"/>
                <w:color w:val="000000"/>
                <w:kern w:val="24"/>
                <w:sz w:val="22"/>
                <w:szCs w:val="22"/>
              </w:rPr>
              <w:t>c</w:t>
            </w:r>
            <w:r w:rsidRPr="00040573">
              <w:rPr>
                <w:rFonts w:ascii="Arial" w:hAnsi="Arial" w:cs="Arial"/>
                <w:color w:val="000000"/>
                <w:kern w:val="24"/>
                <w:sz w:val="22"/>
                <w:szCs w:val="22"/>
              </w:rPr>
              <w:t xml:space="preserve">ounty </w:t>
            </w:r>
            <w:r w:rsidR="00C20F0A">
              <w:rPr>
                <w:rFonts w:ascii="Arial" w:hAnsi="Arial" w:cs="Arial"/>
                <w:color w:val="000000"/>
                <w:kern w:val="24"/>
                <w:sz w:val="22"/>
                <w:szCs w:val="22"/>
              </w:rPr>
              <w:t>w</w:t>
            </w:r>
            <w:r w:rsidRPr="00040573">
              <w:rPr>
                <w:rFonts w:ascii="Arial" w:hAnsi="Arial" w:cs="Arial"/>
                <w:color w:val="000000"/>
                <w:kern w:val="24"/>
                <w:sz w:val="22"/>
                <w:szCs w:val="22"/>
              </w:rPr>
              <w:t>ards</w:t>
            </w:r>
            <w:r w:rsidR="003A3AC8" w:rsidRPr="00040573">
              <w:rPr>
                <w:rFonts w:ascii="Arial" w:hAnsi="Arial" w:cs="Arial"/>
                <w:color w:val="000000"/>
                <w:kern w:val="24"/>
                <w:sz w:val="22"/>
                <w:szCs w:val="22"/>
              </w:rPr>
              <w:t xml:space="preserve"> and </w:t>
            </w:r>
            <w:r w:rsidR="00C20F0A">
              <w:rPr>
                <w:rFonts w:ascii="Arial" w:hAnsi="Arial" w:cs="Arial"/>
                <w:color w:val="000000"/>
                <w:kern w:val="24"/>
                <w:sz w:val="22"/>
                <w:szCs w:val="22"/>
              </w:rPr>
              <w:t>d</w:t>
            </w:r>
            <w:r w:rsidRPr="00040573">
              <w:rPr>
                <w:rFonts w:ascii="Arial" w:hAnsi="Arial" w:cs="Arial"/>
                <w:color w:val="000000"/>
                <w:kern w:val="24"/>
                <w:sz w:val="22"/>
                <w:szCs w:val="22"/>
              </w:rPr>
              <w:t>ivisions</w:t>
            </w:r>
            <w:r w:rsidR="003D5DE5" w:rsidRPr="00040573">
              <w:rPr>
                <w:rFonts w:ascii="Arial" w:hAnsi="Arial" w:cs="Arial"/>
                <w:color w:val="000000"/>
                <w:kern w:val="24"/>
                <w:sz w:val="22"/>
                <w:szCs w:val="22"/>
              </w:rPr>
              <w:t xml:space="preserve"> are</w:t>
            </w:r>
            <w:r w:rsidRPr="00040573">
              <w:rPr>
                <w:rFonts w:ascii="Arial" w:hAnsi="Arial" w:cs="Arial"/>
                <w:color w:val="000000"/>
                <w:kern w:val="24"/>
                <w:sz w:val="22"/>
                <w:szCs w:val="22"/>
              </w:rPr>
              <w:t xml:space="preserve"> more consistent and the </w:t>
            </w:r>
            <w:r w:rsidR="00C20F0A">
              <w:rPr>
                <w:rFonts w:ascii="Arial" w:hAnsi="Arial" w:cs="Arial"/>
                <w:color w:val="000000"/>
                <w:kern w:val="24"/>
                <w:sz w:val="22"/>
                <w:szCs w:val="22"/>
              </w:rPr>
              <w:t>p</w:t>
            </w:r>
            <w:r w:rsidRPr="00040573">
              <w:rPr>
                <w:rFonts w:ascii="Arial" w:hAnsi="Arial" w:cs="Arial"/>
                <w:color w:val="000000"/>
                <w:kern w:val="24"/>
                <w:sz w:val="22"/>
                <w:szCs w:val="22"/>
              </w:rPr>
              <w:t>arish (</w:t>
            </w:r>
            <w:r w:rsidR="006C1F6C">
              <w:rPr>
                <w:rFonts w:ascii="Arial" w:hAnsi="Arial" w:cs="Arial"/>
                <w:color w:val="000000"/>
                <w:kern w:val="24"/>
                <w:sz w:val="22"/>
                <w:szCs w:val="22"/>
              </w:rPr>
              <w:t>who’s population</w:t>
            </w:r>
            <w:r w:rsidRPr="00040573">
              <w:rPr>
                <w:rFonts w:ascii="Arial" w:hAnsi="Arial" w:cs="Arial"/>
                <w:color w:val="000000"/>
                <w:kern w:val="24"/>
                <w:sz w:val="22"/>
                <w:szCs w:val="22"/>
              </w:rPr>
              <w:t xml:space="preserve"> is mostly Salfords/ along the A23</w:t>
            </w:r>
            <w:r w:rsidR="003D5DE5" w:rsidRPr="00040573">
              <w:rPr>
                <w:rFonts w:ascii="Arial" w:hAnsi="Arial" w:cs="Arial"/>
                <w:color w:val="000000"/>
                <w:kern w:val="24"/>
                <w:sz w:val="22"/>
                <w:szCs w:val="22"/>
              </w:rPr>
              <w:t>)</w:t>
            </w:r>
            <w:r w:rsidRPr="00040573">
              <w:rPr>
                <w:rFonts w:ascii="Arial" w:hAnsi="Arial" w:cs="Arial"/>
                <w:color w:val="000000"/>
                <w:kern w:val="24"/>
                <w:sz w:val="22"/>
                <w:szCs w:val="22"/>
              </w:rPr>
              <w:t xml:space="preserve"> is part of Horley East</w:t>
            </w:r>
            <w:r w:rsidR="00153E62" w:rsidRPr="00040573">
              <w:rPr>
                <w:rFonts w:ascii="Arial" w:hAnsi="Arial" w:cs="Arial"/>
                <w:color w:val="000000"/>
                <w:kern w:val="24"/>
                <w:sz w:val="22"/>
                <w:szCs w:val="22"/>
              </w:rPr>
              <w:t xml:space="preserve">. </w:t>
            </w:r>
            <w:r w:rsidRPr="00040573">
              <w:rPr>
                <w:rFonts w:ascii="Arial" w:hAnsi="Arial" w:cs="Arial"/>
                <w:color w:val="000000"/>
                <w:kern w:val="24"/>
                <w:sz w:val="22"/>
                <w:szCs w:val="22"/>
              </w:rPr>
              <w:tab/>
            </w:r>
            <w:r w:rsidRPr="00040573">
              <w:rPr>
                <w:rFonts w:ascii="Arial" w:hAnsi="Arial" w:cs="Arial"/>
                <w:color w:val="000000"/>
                <w:kern w:val="24"/>
                <w:sz w:val="22"/>
                <w:szCs w:val="22"/>
              </w:rPr>
              <w:tab/>
            </w:r>
            <w:r w:rsidRPr="00040573">
              <w:rPr>
                <w:rFonts w:ascii="Arial" w:hAnsi="Arial" w:cs="Arial"/>
                <w:color w:val="000000"/>
                <w:kern w:val="24"/>
                <w:sz w:val="22"/>
                <w:szCs w:val="22"/>
              </w:rPr>
              <w:tab/>
            </w:r>
          </w:p>
          <w:p w14:paraId="6752495D" w14:textId="447F3CF6" w:rsidR="00284B07" w:rsidRPr="00040573" w:rsidRDefault="00284B07" w:rsidP="00284B07">
            <w:pPr>
              <w:pStyle w:val="ListParagraph"/>
              <w:numPr>
                <w:ilvl w:val="0"/>
                <w:numId w:val="37"/>
              </w:numPr>
              <w:spacing w:line="216" w:lineRule="auto"/>
              <w:rPr>
                <w:rFonts w:ascii="Arial" w:hAnsi="Arial" w:cs="Arial"/>
                <w:color w:val="000000"/>
                <w:kern w:val="24"/>
                <w:sz w:val="22"/>
                <w:szCs w:val="22"/>
              </w:rPr>
            </w:pPr>
            <w:r w:rsidRPr="00040573">
              <w:rPr>
                <w:rFonts w:ascii="Arial" w:hAnsi="Arial" w:cs="Arial"/>
                <w:color w:val="000000"/>
                <w:kern w:val="24"/>
                <w:sz w:val="22"/>
                <w:szCs w:val="22"/>
              </w:rPr>
              <w:t>Move HRE1 (Copsleigh Avenue part of Salfords and Sidlow PC) from Earlswood and Reigate South so all of the parish council area is in one division, not spread over two as is currently the case.</w:t>
            </w:r>
            <w:r w:rsidR="006B444F" w:rsidRPr="00040573">
              <w:rPr>
                <w:rFonts w:ascii="Arial" w:hAnsi="Arial" w:cs="Arial"/>
                <w:color w:val="000000"/>
                <w:kern w:val="24"/>
                <w:sz w:val="22"/>
                <w:szCs w:val="22"/>
              </w:rPr>
              <w:t xml:space="preserve"> </w:t>
            </w:r>
            <w:r w:rsidRPr="00040573">
              <w:rPr>
                <w:rFonts w:ascii="Arial" w:hAnsi="Arial" w:cs="Arial"/>
                <w:color w:val="000000"/>
                <w:kern w:val="24"/>
                <w:sz w:val="22"/>
                <w:szCs w:val="22"/>
              </w:rPr>
              <w:t xml:space="preserve">This means the majority of the </w:t>
            </w:r>
            <w:r w:rsidR="00C20F0A">
              <w:rPr>
                <w:rFonts w:ascii="Arial" w:hAnsi="Arial" w:cs="Arial"/>
                <w:color w:val="000000"/>
                <w:kern w:val="24"/>
                <w:sz w:val="22"/>
                <w:szCs w:val="22"/>
              </w:rPr>
              <w:t>p</w:t>
            </w:r>
            <w:r w:rsidRPr="00040573">
              <w:rPr>
                <w:rFonts w:ascii="Arial" w:hAnsi="Arial" w:cs="Arial"/>
                <w:color w:val="000000"/>
                <w:kern w:val="24"/>
                <w:sz w:val="22"/>
                <w:szCs w:val="22"/>
              </w:rPr>
              <w:t xml:space="preserve">arish council is represented in an area that is the same for </w:t>
            </w:r>
            <w:r w:rsidR="00B205FD">
              <w:rPr>
                <w:rFonts w:ascii="Arial" w:hAnsi="Arial" w:cs="Arial"/>
                <w:color w:val="000000"/>
                <w:kern w:val="24"/>
                <w:sz w:val="22"/>
                <w:szCs w:val="22"/>
              </w:rPr>
              <w:t>b</w:t>
            </w:r>
            <w:r w:rsidRPr="00040573">
              <w:rPr>
                <w:rFonts w:ascii="Arial" w:hAnsi="Arial" w:cs="Arial"/>
                <w:color w:val="000000"/>
                <w:kern w:val="24"/>
                <w:sz w:val="22"/>
                <w:szCs w:val="22"/>
              </w:rPr>
              <w:t xml:space="preserve">orough and </w:t>
            </w:r>
            <w:r w:rsidR="00B205FD">
              <w:rPr>
                <w:rFonts w:ascii="Arial" w:hAnsi="Arial" w:cs="Arial"/>
                <w:color w:val="000000"/>
                <w:kern w:val="24"/>
                <w:sz w:val="22"/>
                <w:szCs w:val="22"/>
              </w:rPr>
              <w:t>c</w:t>
            </w:r>
            <w:r w:rsidRPr="00040573">
              <w:rPr>
                <w:rFonts w:ascii="Arial" w:hAnsi="Arial" w:cs="Arial"/>
                <w:color w:val="000000"/>
                <w:kern w:val="24"/>
                <w:sz w:val="22"/>
                <w:szCs w:val="22"/>
              </w:rPr>
              <w:t xml:space="preserve">ounty councils. </w:t>
            </w:r>
          </w:p>
          <w:p w14:paraId="43BFC583" w14:textId="5B478A05" w:rsidR="00284B07" w:rsidRPr="00FA512C" w:rsidRDefault="00284B07" w:rsidP="00DA2F12">
            <w:pPr>
              <w:pStyle w:val="ListParagraph"/>
              <w:numPr>
                <w:ilvl w:val="0"/>
                <w:numId w:val="37"/>
              </w:numPr>
              <w:spacing w:line="216" w:lineRule="auto"/>
              <w:rPr>
                <w:rFonts w:ascii="Arial" w:hAnsi="Arial" w:cs="Arial"/>
                <w:color w:val="000000"/>
                <w:kern w:val="24"/>
                <w:szCs w:val="22"/>
              </w:rPr>
            </w:pPr>
            <w:r w:rsidRPr="00040573">
              <w:rPr>
                <w:rFonts w:ascii="Arial" w:hAnsi="Arial" w:cs="Arial"/>
                <w:color w:val="000000"/>
                <w:kern w:val="24"/>
                <w:sz w:val="22"/>
                <w:szCs w:val="22"/>
              </w:rPr>
              <w:t>Move HRC2 to Horley East as this sits close to HRE4 and aligns to it.</w:t>
            </w:r>
            <w:r w:rsidRPr="00FA512C">
              <w:rPr>
                <w:rFonts w:ascii="Arial" w:hAnsi="Arial" w:cs="Arial"/>
                <w:color w:val="000000"/>
                <w:kern w:val="24"/>
                <w:szCs w:val="22"/>
              </w:rPr>
              <w:t xml:space="preserve"> </w:t>
            </w:r>
            <w:r w:rsidRPr="00FA512C">
              <w:rPr>
                <w:rFonts w:ascii="Arial" w:hAnsi="Arial" w:cs="Arial"/>
                <w:color w:val="000000"/>
                <w:kern w:val="24"/>
                <w:szCs w:val="22"/>
              </w:rPr>
              <w:tab/>
            </w:r>
            <w:r w:rsidRPr="00FA512C">
              <w:rPr>
                <w:rFonts w:ascii="Arial" w:hAnsi="Arial" w:cs="Arial"/>
                <w:color w:val="000000"/>
                <w:kern w:val="24"/>
                <w:szCs w:val="22"/>
              </w:rPr>
              <w:tab/>
            </w:r>
            <w:r w:rsidRPr="00FA512C">
              <w:rPr>
                <w:rFonts w:ascii="Arial" w:hAnsi="Arial" w:cs="Arial"/>
                <w:color w:val="000000"/>
                <w:kern w:val="24"/>
                <w:szCs w:val="22"/>
              </w:rPr>
              <w:tab/>
            </w:r>
          </w:p>
          <w:p w14:paraId="15AC1BEC" w14:textId="5C4F4277" w:rsidR="004B07E0" w:rsidRPr="00FA512C" w:rsidRDefault="00284B07" w:rsidP="00284B07">
            <w:pPr>
              <w:spacing w:line="216" w:lineRule="auto"/>
              <w:rPr>
                <w:rFonts w:cs="Arial"/>
                <w:szCs w:val="22"/>
              </w:rPr>
            </w:pPr>
            <w:r w:rsidRPr="00FA512C">
              <w:rPr>
                <w:rFonts w:cs="Arial"/>
                <w:color w:val="000000"/>
                <w:kern w:val="24"/>
                <w:szCs w:val="22"/>
              </w:rPr>
              <w:t>Overall, this better aligns Horley East and West county divisions with the borough council wards and improves community cohesion. This creates the boundary between the two divisions down the centre of Horley such that responsibility for the central area is shared but communities</w:t>
            </w:r>
            <w:r w:rsidR="00B63D8F">
              <w:rPr>
                <w:rFonts w:cs="Arial"/>
                <w:color w:val="000000"/>
                <w:kern w:val="24"/>
                <w:szCs w:val="22"/>
              </w:rPr>
              <w:t xml:space="preserve"> are more</w:t>
            </w:r>
            <w:r w:rsidRPr="00FA512C">
              <w:rPr>
                <w:rFonts w:cs="Arial"/>
                <w:color w:val="000000"/>
                <w:kern w:val="24"/>
                <w:szCs w:val="22"/>
              </w:rPr>
              <w:t xml:space="preserve"> clearly defined beyond the centre. </w:t>
            </w:r>
            <w:r w:rsidRPr="00FA512C">
              <w:rPr>
                <w:rFonts w:cs="Arial"/>
                <w:color w:val="000000"/>
                <w:kern w:val="24"/>
                <w:szCs w:val="22"/>
              </w:rPr>
              <w:tab/>
            </w:r>
            <w:r w:rsidRPr="00FA512C">
              <w:rPr>
                <w:rFonts w:cs="Arial"/>
                <w:color w:val="000000"/>
                <w:kern w:val="24"/>
                <w:szCs w:val="22"/>
              </w:rPr>
              <w:tab/>
            </w:r>
            <w:r w:rsidRPr="00FA512C">
              <w:rPr>
                <w:rFonts w:cs="Arial"/>
                <w:color w:val="000000"/>
                <w:kern w:val="24"/>
                <w:szCs w:val="22"/>
              </w:rPr>
              <w:tab/>
            </w:r>
          </w:p>
          <w:p w14:paraId="4037E91E" w14:textId="28ED0FB7" w:rsidR="00B3004B" w:rsidRPr="00B3004B" w:rsidRDefault="00B3004B" w:rsidP="00B3004B">
            <w:pPr>
              <w:overflowPunct/>
              <w:autoSpaceDE/>
              <w:autoSpaceDN/>
              <w:adjustRightInd/>
              <w:textAlignment w:val="auto"/>
              <w:rPr>
                <w:rFonts w:eastAsia="Calibri" w:cs="Arial"/>
                <w:szCs w:val="22"/>
                <w:highlight w:val="yellow"/>
              </w:rPr>
            </w:pPr>
          </w:p>
          <w:p w14:paraId="42817543" w14:textId="3EAE5CEF" w:rsidR="006B32BB" w:rsidRPr="00B3004B" w:rsidRDefault="006B32BB" w:rsidP="00B3004B">
            <w:pPr>
              <w:rPr>
                <w:rFonts w:cs="Arial"/>
                <w:highlight w:val="yellow"/>
              </w:rPr>
            </w:pPr>
          </w:p>
        </w:tc>
      </w:tr>
      <w:tr w:rsidR="006B32BB" w14:paraId="79FAAF4F" w14:textId="77777777">
        <w:tc>
          <w:tcPr>
            <w:tcW w:w="3045" w:type="dxa"/>
          </w:tcPr>
          <w:p w14:paraId="6E9B835F" w14:textId="048C2D19" w:rsidR="006B32BB" w:rsidRPr="001902D7" w:rsidRDefault="00F85684" w:rsidP="006B32BB">
            <w:pPr>
              <w:overflowPunct/>
              <w:spacing w:before="240"/>
              <w:jc w:val="center"/>
              <w:textAlignment w:val="auto"/>
              <w:rPr>
                <w:rFonts w:cs="Arial"/>
                <w:b/>
                <w:bCs/>
                <w:color w:val="000000"/>
                <w:lang w:val="en-US"/>
              </w:rPr>
            </w:pPr>
            <w:r>
              <w:rPr>
                <w:rFonts w:cs="Arial"/>
                <w:b/>
                <w:bCs/>
                <w:color w:val="000000"/>
                <w:lang w:val="en-US"/>
              </w:rPr>
              <w:t xml:space="preserve">Option A: </w:t>
            </w:r>
            <w:r w:rsidR="006B32BB" w:rsidRPr="001902D7">
              <w:rPr>
                <w:rFonts w:cs="Arial"/>
                <w:b/>
                <w:bCs/>
                <w:color w:val="000000"/>
                <w:lang w:val="en-US"/>
              </w:rPr>
              <w:t>Horley West, Salfords and Sidlow</w:t>
            </w:r>
          </w:p>
          <w:p w14:paraId="10AABD8D" w14:textId="2AA9577B" w:rsidR="00916A12" w:rsidRDefault="00916A12" w:rsidP="006B32BB">
            <w:pPr>
              <w:overflowPunct/>
              <w:spacing w:before="240"/>
              <w:jc w:val="center"/>
              <w:textAlignment w:val="auto"/>
              <w:rPr>
                <w:rFonts w:cs="Arial"/>
                <w:b/>
                <w:bCs/>
                <w:color w:val="000000"/>
                <w:lang w:val="en-US"/>
              </w:rPr>
            </w:pPr>
          </w:p>
          <w:p w14:paraId="3D8DC0F2" w14:textId="48490C35" w:rsidR="00916A12" w:rsidRDefault="00916A12" w:rsidP="006B32BB">
            <w:pPr>
              <w:overflowPunct/>
              <w:spacing w:before="240"/>
              <w:jc w:val="center"/>
              <w:textAlignment w:val="auto"/>
              <w:rPr>
                <w:rFonts w:cs="Arial"/>
                <w:b/>
                <w:bCs/>
                <w:color w:val="000000"/>
                <w:lang w:val="en-US"/>
              </w:rPr>
            </w:pPr>
            <w:r>
              <w:rPr>
                <w:rFonts w:cs="Arial"/>
                <w:b/>
                <w:bCs/>
                <w:color w:val="000000"/>
                <w:lang w:val="en-US"/>
              </w:rPr>
              <w:t>Option B: Horley East, Salfords and Sidlow</w:t>
            </w:r>
          </w:p>
          <w:p w14:paraId="7C7844B9" w14:textId="37D39E32" w:rsidR="003207FD" w:rsidRPr="003B4F04" w:rsidRDefault="003207FD" w:rsidP="003207FD">
            <w:pPr>
              <w:overflowPunct/>
              <w:spacing w:before="240"/>
              <w:jc w:val="center"/>
              <w:textAlignment w:val="auto"/>
              <w:rPr>
                <w:rFonts w:cs="Arial"/>
                <w:b/>
                <w:bCs/>
                <w:i/>
                <w:iCs/>
                <w:color w:val="000000"/>
                <w:lang w:val="en-US"/>
              </w:rPr>
            </w:pPr>
            <w:r w:rsidRPr="003B4F04">
              <w:rPr>
                <w:rFonts w:cs="Arial"/>
                <w:b/>
                <w:bCs/>
                <w:i/>
                <w:iCs/>
                <w:color w:val="000000"/>
                <w:lang w:val="en-US"/>
              </w:rPr>
              <w:t xml:space="preserve">Currently known as Horley West, Salfords and </w:t>
            </w:r>
            <w:r w:rsidR="00BC7A71" w:rsidRPr="003B4F04">
              <w:rPr>
                <w:rFonts w:cs="Arial"/>
                <w:b/>
                <w:bCs/>
                <w:i/>
                <w:iCs/>
                <w:color w:val="000000"/>
                <w:lang w:val="en-US"/>
              </w:rPr>
              <w:t>Sidlow</w:t>
            </w:r>
          </w:p>
          <w:p w14:paraId="5F0BC6AD" w14:textId="77777777" w:rsidR="006B32BB" w:rsidRPr="001902D7" w:rsidRDefault="006B32BB" w:rsidP="006B32BB">
            <w:pPr>
              <w:spacing w:before="240"/>
              <w:jc w:val="center"/>
              <w:rPr>
                <w:b/>
                <w:bCs/>
              </w:rPr>
            </w:pPr>
          </w:p>
        </w:tc>
        <w:tc>
          <w:tcPr>
            <w:tcW w:w="1321" w:type="dxa"/>
            <w:vAlign w:val="center"/>
          </w:tcPr>
          <w:p w14:paraId="61D1BBBA" w14:textId="2300C1EC" w:rsidR="006B32BB" w:rsidRPr="000C254C" w:rsidRDefault="00F85684" w:rsidP="006B32BB">
            <w:pPr>
              <w:spacing w:before="240"/>
              <w:jc w:val="center"/>
            </w:pPr>
            <w:r>
              <w:rPr>
                <w:rFonts w:cs="Arial"/>
              </w:rPr>
              <w:t>A</w:t>
            </w:r>
            <w:r w:rsidR="009767D2">
              <w:rPr>
                <w:rFonts w:cs="Arial"/>
              </w:rPr>
              <w:t xml:space="preserve">: </w:t>
            </w:r>
            <w:r w:rsidR="00BB233A">
              <w:rPr>
                <w:rFonts w:cs="Arial"/>
              </w:rPr>
              <w:t>12,325</w:t>
            </w:r>
          </w:p>
        </w:tc>
        <w:tc>
          <w:tcPr>
            <w:tcW w:w="1280" w:type="dxa"/>
            <w:vAlign w:val="center"/>
          </w:tcPr>
          <w:p w14:paraId="461BC974" w14:textId="543B046C" w:rsidR="006B32BB" w:rsidRPr="000C254C" w:rsidRDefault="00F85684" w:rsidP="006B32BB">
            <w:pPr>
              <w:spacing w:before="240"/>
              <w:jc w:val="center"/>
            </w:pPr>
            <w:r>
              <w:rPr>
                <w:rFonts w:cs="Arial"/>
              </w:rPr>
              <w:t>A</w:t>
            </w:r>
            <w:r w:rsidR="009767D2">
              <w:rPr>
                <w:rFonts w:cs="Arial"/>
              </w:rPr>
              <w:t xml:space="preserve">: </w:t>
            </w:r>
            <w:r w:rsidR="002905A5">
              <w:rPr>
                <w:rFonts w:cs="Arial"/>
              </w:rPr>
              <w:t>3</w:t>
            </w:r>
            <w:r w:rsidR="006B32BB" w:rsidRPr="000C254C">
              <w:rPr>
                <w:rFonts w:cs="Arial"/>
              </w:rPr>
              <w:t>%</w:t>
            </w:r>
          </w:p>
        </w:tc>
        <w:tc>
          <w:tcPr>
            <w:tcW w:w="9375" w:type="dxa"/>
          </w:tcPr>
          <w:p w14:paraId="300F5C21" w14:textId="77777777" w:rsidR="006B32BB" w:rsidRDefault="006B32BB" w:rsidP="00EB389E">
            <w:pPr>
              <w:ind w:left="60"/>
            </w:pPr>
          </w:p>
          <w:p w14:paraId="472D200E" w14:textId="77777777" w:rsidR="00EB389E" w:rsidRDefault="00EB389E" w:rsidP="00EB389E">
            <w:pPr>
              <w:ind w:left="60"/>
            </w:pPr>
          </w:p>
          <w:p w14:paraId="2933915A" w14:textId="42B8AA6B" w:rsidR="00EB389E" w:rsidRDefault="00284B07" w:rsidP="00EB389E">
            <w:pPr>
              <w:ind w:left="60"/>
            </w:pPr>
            <w:r>
              <w:t>See suggested changes</w:t>
            </w:r>
            <w:r w:rsidR="006D2CA2">
              <w:t xml:space="preserve"> described above. </w:t>
            </w:r>
          </w:p>
          <w:p w14:paraId="1CEE3883" w14:textId="537AFB81" w:rsidR="00EB389E" w:rsidRDefault="00EB389E" w:rsidP="00EB389E">
            <w:pPr>
              <w:ind w:left="60"/>
            </w:pPr>
          </w:p>
        </w:tc>
      </w:tr>
      <w:tr w:rsidR="003A3C1B" w14:paraId="48538620" w14:textId="77777777">
        <w:tc>
          <w:tcPr>
            <w:tcW w:w="3045" w:type="dxa"/>
          </w:tcPr>
          <w:p w14:paraId="212472F8" w14:textId="3FF1319B" w:rsidR="003A3C1B" w:rsidRPr="001902D7" w:rsidRDefault="003A3C1B" w:rsidP="003A3C1B">
            <w:pPr>
              <w:spacing w:before="240"/>
              <w:jc w:val="center"/>
              <w:rPr>
                <w:b/>
                <w:bCs/>
              </w:rPr>
            </w:pPr>
            <w:r w:rsidRPr="001902D7">
              <w:rPr>
                <w:b/>
                <w:bCs/>
              </w:rPr>
              <w:t>Redhill West and Meadvale</w:t>
            </w:r>
          </w:p>
        </w:tc>
        <w:tc>
          <w:tcPr>
            <w:tcW w:w="1321" w:type="dxa"/>
            <w:vAlign w:val="center"/>
          </w:tcPr>
          <w:p w14:paraId="0E5B64F2" w14:textId="0FEE240A" w:rsidR="003A3C1B" w:rsidRDefault="003A3C1B" w:rsidP="003A3C1B">
            <w:pPr>
              <w:spacing w:before="240"/>
              <w:jc w:val="center"/>
            </w:pPr>
            <w:r>
              <w:rPr>
                <w:rFonts w:cs="Arial"/>
              </w:rPr>
              <w:t>11,193</w:t>
            </w:r>
          </w:p>
        </w:tc>
        <w:tc>
          <w:tcPr>
            <w:tcW w:w="1280" w:type="dxa"/>
            <w:vAlign w:val="center"/>
          </w:tcPr>
          <w:p w14:paraId="633C4B03" w14:textId="39AD2B18" w:rsidR="003A3C1B" w:rsidRDefault="003A3C1B" w:rsidP="003A3C1B">
            <w:pPr>
              <w:spacing w:before="240"/>
              <w:jc w:val="center"/>
            </w:pPr>
            <w:r>
              <w:rPr>
                <w:rFonts w:cs="Arial"/>
              </w:rPr>
              <w:t>-6%</w:t>
            </w:r>
          </w:p>
        </w:tc>
        <w:tc>
          <w:tcPr>
            <w:tcW w:w="9375" w:type="dxa"/>
          </w:tcPr>
          <w:p w14:paraId="501080EF" w14:textId="77777777" w:rsidR="003A3C1B" w:rsidRDefault="003A3C1B" w:rsidP="003A3C1B">
            <w:pPr>
              <w:ind w:left="60"/>
            </w:pPr>
          </w:p>
          <w:p w14:paraId="7B7FA0FF" w14:textId="027669CC" w:rsidR="00B35584" w:rsidRPr="00836672" w:rsidRDefault="00B35584" w:rsidP="003A3C1B">
            <w:pPr>
              <w:ind w:left="60"/>
            </w:pPr>
            <w:r w:rsidRPr="00836672">
              <w:t xml:space="preserve">There are no suggested changes to this </w:t>
            </w:r>
            <w:r w:rsidR="00BC7A71">
              <w:t>d</w:t>
            </w:r>
            <w:r w:rsidR="002E52DC" w:rsidRPr="00836672">
              <w:t>ivision.</w:t>
            </w:r>
          </w:p>
          <w:p w14:paraId="25E9D5D2" w14:textId="77777777" w:rsidR="00B35584" w:rsidRPr="00836672" w:rsidRDefault="00B35584" w:rsidP="003A3C1B">
            <w:pPr>
              <w:ind w:left="60"/>
            </w:pPr>
          </w:p>
          <w:p w14:paraId="242F438B" w14:textId="1888434E" w:rsidR="003A3C1B" w:rsidRPr="00836672" w:rsidRDefault="003A3C1B" w:rsidP="003A3C1B">
            <w:pPr>
              <w:ind w:left="60"/>
            </w:pPr>
            <w:r w:rsidRPr="00836672">
              <w:t xml:space="preserve">The central part of Reigate and Banstead is significantly more urban than the north and south, with the towns of Reigate and Redhill dominating.  </w:t>
            </w:r>
            <w:r w:rsidR="00364895" w:rsidRPr="00836672">
              <w:t>The southern boundary</w:t>
            </w:r>
            <w:r w:rsidR="00687B5E" w:rsidRPr="00836672">
              <w:t xml:space="preserve"> of this </w:t>
            </w:r>
            <w:r w:rsidR="00BC7A71">
              <w:t>d</w:t>
            </w:r>
            <w:r w:rsidR="00687B5E" w:rsidRPr="00836672">
              <w:t>ivision</w:t>
            </w:r>
            <w:r w:rsidR="00364895" w:rsidRPr="00836672">
              <w:t xml:space="preserve"> generally follows that of the Ward </w:t>
            </w:r>
            <w:r w:rsidR="005D50AA" w:rsidRPr="00836672">
              <w:t>with the same name</w:t>
            </w:r>
            <w:r w:rsidR="00184E88" w:rsidRPr="00836672">
              <w:t>, with</w:t>
            </w:r>
            <w:r w:rsidR="00836672" w:rsidRPr="00836672">
              <w:t xml:space="preserve"> the A23 and A242 largely acting as natural boundaries to the north and east.</w:t>
            </w:r>
            <w:r w:rsidR="00184E88" w:rsidRPr="00836672">
              <w:t xml:space="preserve"> </w:t>
            </w:r>
          </w:p>
          <w:p w14:paraId="0E861154" w14:textId="77777777" w:rsidR="003A3C1B" w:rsidRDefault="003A3C1B" w:rsidP="003A3C1B"/>
        </w:tc>
      </w:tr>
      <w:tr w:rsidR="00001D2E" w14:paraId="0C279173" w14:textId="77777777">
        <w:tc>
          <w:tcPr>
            <w:tcW w:w="3045" w:type="dxa"/>
          </w:tcPr>
          <w:p w14:paraId="474D65D2" w14:textId="752531D1" w:rsidR="00001D2E" w:rsidRPr="001902D7" w:rsidRDefault="00001D2E" w:rsidP="00001D2E">
            <w:pPr>
              <w:spacing w:before="240"/>
              <w:jc w:val="center"/>
              <w:rPr>
                <w:b/>
                <w:bCs/>
              </w:rPr>
            </w:pPr>
            <w:r w:rsidRPr="001902D7">
              <w:rPr>
                <w:b/>
                <w:bCs/>
              </w:rPr>
              <w:t>Merstham &amp; Banstead South</w:t>
            </w:r>
          </w:p>
        </w:tc>
        <w:tc>
          <w:tcPr>
            <w:tcW w:w="1321" w:type="dxa"/>
            <w:vAlign w:val="center"/>
          </w:tcPr>
          <w:p w14:paraId="7F480E37" w14:textId="30A44641" w:rsidR="00001D2E" w:rsidRDefault="00001D2E" w:rsidP="00001D2E">
            <w:pPr>
              <w:spacing w:before="240"/>
              <w:jc w:val="center"/>
            </w:pPr>
            <w:r>
              <w:rPr>
                <w:rFonts w:cs="Arial"/>
              </w:rPr>
              <w:t>11,</w:t>
            </w:r>
            <w:r w:rsidR="007C7251">
              <w:rPr>
                <w:rFonts w:cs="Arial"/>
              </w:rPr>
              <w:t>392</w:t>
            </w:r>
          </w:p>
        </w:tc>
        <w:tc>
          <w:tcPr>
            <w:tcW w:w="1280" w:type="dxa"/>
            <w:vAlign w:val="center"/>
          </w:tcPr>
          <w:p w14:paraId="0A564786" w14:textId="7C63A778" w:rsidR="00001D2E" w:rsidRDefault="00001D2E" w:rsidP="00001D2E">
            <w:pPr>
              <w:spacing w:before="240"/>
              <w:jc w:val="center"/>
            </w:pPr>
            <w:r>
              <w:rPr>
                <w:rFonts w:cs="Arial"/>
              </w:rPr>
              <w:t>-</w:t>
            </w:r>
            <w:r w:rsidR="007C7251">
              <w:rPr>
                <w:rFonts w:cs="Arial"/>
              </w:rPr>
              <w:t>4</w:t>
            </w:r>
            <w:r>
              <w:rPr>
                <w:rFonts w:cs="Arial"/>
              </w:rPr>
              <w:t>%</w:t>
            </w:r>
          </w:p>
        </w:tc>
        <w:tc>
          <w:tcPr>
            <w:tcW w:w="9375" w:type="dxa"/>
          </w:tcPr>
          <w:p w14:paraId="2333F6C2" w14:textId="77777777" w:rsidR="00001D2E" w:rsidRPr="00EB518D" w:rsidRDefault="00001D2E" w:rsidP="00001D2E">
            <w:pPr>
              <w:ind w:left="60"/>
              <w:rPr>
                <w:szCs w:val="22"/>
              </w:rPr>
            </w:pPr>
          </w:p>
          <w:p w14:paraId="74CB8F0E" w14:textId="6E6C49DB" w:rsidR="00B452C6" w:rsidRPr="00EB518D" w:rsidRDefault="00F94593" w:rsidP="00E87209">
            <w:pPr>
              <w:rPr>
                <w:szCs w:val="22"/>
              </w:rPr>
            </w:pPr>
            <w:r w:rsidRPr="00EB518D">
              <w:rPr>
                <w:szCs w:val="22"/>
              </w:rPr>
              <w:t xml:space="preserve">A number of small changes are suggested for this </w:t>
            </w:r>
            <w:r w:rsidR="00BC7A71">
              <w:rPr>
                <w:szCs w:val="22"/>
              </w:rPr>
              <w:t>d</w:t>
            </w:r>
            <w:r w:rsidRPr="00EB518D">
              <w:rPr>
                <w:szCs w:val="22"/>
              </w:rPr>
              <w:t>ivision.</w:t>
            </w:r>
          </w:p>
          <w:p w14:paraId="5B00C102" w14:textId="77777777" w:rsidR="00F94593" w:rsidRPr="00EB518D" w:rsidRDefault="00F94593" w:rsidP="00001D2E">
            <w:pPr>
              <w:ind w:left="60"/>
              <w:rPr>
                <w:szCs w:val="22"/>
              </w:rPr>
            </w:pPr>
          </w:p>
          <w:p w14:paraId="7504F793" w14:textId="065A0350" w:rsidR="00A34E06" w:rsidRPr="000B75DA" w:rsidRDefault="00A34E06" w:rsidP="00A34E06">
            <w:pPr>
              <w:spacing w:line="216" w:lineRule="auto"/>
              <w:rPr>
                <w:rFonts w:cs="Arial"/>
                <w:color w:val="000000"/>
                <w:kern w:val="24"/>
                <w:szCs w:val="22"/>
              </w:rPr>
            </w:pPr>
            <w:r w:rsidRPr="000B75DA">
              <w:rPr>
                <w:rFonts w:cs="Arial"/>
                <w:color w:val="000000"/>
                <w:kern w:val="24"/>
                <w:szCs w:val="22"/>
              </w:rPr>
              <w:t xml:space="preserve">Move </w:t>
            </w:r>
            <w:r w:rsidR="00BC7A71">
              <w:rPr>
                <w:rFonts w:cs="Arial"/>
                <w:color w:val="000000"/>
                <w:kern w:val="24"/>
                <w:szCs w:val="22"/>
              </w:rPr>
              <w:t>p</w:t>
            </w:r>
            <w:r w:rsidRPr="000B75DA">
              <w:rPr>
                <w:rFonts w:cs="Arial"/>
                <w:color w:val="000000"/>
                <w:kern w:val="24"/>
                <w:szCs w:val="22"/>
              </w:rPr>
              <w:t xml:space="preserve">olling </w:t>
            </w:r>
            <w:r w:rsidR="00BC7A71">
              <w:rPr>
                <w:rFonts w:cs="Arial"/>
                <w:color w:val="000000"/>
                <w:kern w:val="24"/>
                <w:szCs w:val="22"/>
              </w:rPr>
              <w:t>d</w:t>
            </w:r>
            <w:r w:rsidRPr="000B75DA">
              <w:rPr>
                <w:rFonts w:cs="Arial"/>
                <w:color w:val="000000"/>
                <w:kern w:val="24"/>
                <w:szCs w:val="22"/>
              </w:rPr>
              <w:t>istrict KTW3 from Tadworth, Walton and Kingswood division into Merstham and Banstead South division. This border better suits community identity and also helps to address some of the imbalance in numbers between Tadworth, Walton and Kingswood (presently with a +4% variance) and Merstham and Banstead South (currently with a -6% variance).</w:t>
            </w:r>
          </w:p>
          <w:p w14:paraId="0A657D49" w14:textId="77777777" w:rsidR="00A34E06" w:rsidRPr="00EB518D" w:rsidRDefault="00A34E06" w:rsidP="00A34E06">
            <w:pPr>
              <w:spacing w:line="216" w:lineRule="auto"/>
              <w:rPr>
                <w:rFonts w:cs="Arial"/>
                <w:color w:val="000000"/>
                <w:kern w:val="24"/>
                <w:szCs w:val="22"/>
              </w:rPr>
            </w:pPr>
          </w:p>
          <w:p w14:paraId="49422EE5" w14:textId="7B0261F0" w:rsidR="00EB518D" w:rsidRPr="00EB518D" w:rsidRDefault="00EB518D" w:rsidP="00EB518D">
            <w:pPr>
              <w:spacing w:line="216" w:lineRule="auto"/>
              <w:rPr>
                <w:rFonts w:cs="Arial"/>
                <w:color w:val="000000"/>
                <w:kern w:val="24"/>
                <w:szCs w:val="22"/>
              </w:rPr>
            </w:pPr>
            <w:r w:rsidRPr="00EB518D">
              <w:rPr>
                <w:rFonts w:cs="Arial"/>
                <w:color w:val="000000"/>
                <w:kern w:val="24"/>
                <w:szCs w:val="22"/>
              </w:rPr>
              <w:t>It is also suggested that</w:t>
            </w:r>
            <w:r w:rsidR="00A012BF" w:rsidRPr="00EB518D">
              <w:rPr>
                <w:rFonts w:cs="Arial"/>
                <w:color w:val="000000"/>
                <w:kern w:val="24"/>
                <w:szCs w:val="22"/>
              </w:rPr>
              <w:t xml:space="preserve"> </w:t>
            </w:r>
            <w:r w:rsidR="00BC7A71">
              <w:rPr>
                <w:rFonts w:cs="Arial"/>
                <w:color w:val="000000"/>
                <w:kern w:val="24"/>
                <w:szCs w:val="22"/>
              </w:rPr>
              <w:t>p</w:t>
            </w:r>
            <w:r w:rsidR="00A012BF" w:rsidRPr="00EB518D">
              <w:rPr>
                <w:rFonts w:cs="Arial"/>
                <w:color w:val="000000"/>
                <w:kern w:val="24"/>
                <w:szCs w:val="22"/>
              </w:rPr>
              <w:t xml:space="preserve">olling </w:t>
            </w:r>
            <w:r w:rsidR="00BC7A71">
              <w:rPr>
                <w:rFonts w:cs="Arial"/>
                <w:color w:val="000000"/>
                <w:kern w:val="24"/>
                <w:szCs w:val="22"/>
              </w:rPr>
              <w:t>d</w:t>
            </w:r>
            <w:r w:rsidR="00A012BF" w:rsidRPr="00EB518D">
              <w:rPr>
                <w:rFonts w:cs="Arial"/>
                <w:color w:val="000000"/>
                <w:kern w:val="24"/>
                <w:szCs w:val="22"/>
              </w:rPr>
              <w:t>istrict</w:t>
            </w:r>
            <w:r w:rsidRPr="00EB518D">
              <w:rPr>
                <w:rFonts w:cs="Arial"/>
                <w:color w:val="000000"/>
                <w:kern w:val="24"/>
                <w:szCs w:val="22"/>
              </w:rPr>
              <w:t>s</w:t>
            </w:r>
            <w:r w:rsidR="00A012BF" w:rsidRPr="00EB518D">
              <w:rPr>
                <w:rFonts w:cs="Arial"/>
                <w:color w:val="000000"/>
                <w:kern w:val="24"/>
                <w:szCs w:val="22"/>
              </w:rPr>
              <w:t xml:space="preserve"> RDW1</w:t>
            </w:r>
            <w:r w:rsidRPr="00EB518D">
              <w:rPr>
                <w:rFonts w:cs="Arial"/>
                <w:color w:val="000000"/>
                <w:kern w:val="24"/>
                <w:szCs w:val="22"/>
              </w:rPr>
              <w:t xml:space="preserve"> and RGT1 move from </w:t>
            </w:r>
            <w:r w:rsidR="00A012BF" w:rsidRPr="00EB518D">
              <w:rPr>
                <w:rFonts w:cs="Arial"/>
                <w:color w:val="000000"/>
                <w:kern w:val="24"/>
                <w:szCs w:val="22"/>
              </w:rPr>
              <w:t xml:space="preserve"> </w:t>
            </w:r>
          </w:p>
          <w:p w14:paraId="5C178AAA" w14:textId="6B83738C" w:rsidR="00A012BF" w:rsidRPr="00EB518D" w:rsidRDefault="00A012BF" w:rsidP="00A012BF">
            <w:pPr>
              <w:spacing w:line="216" w:lineRule="auto"/>
              <w:rPr>
                <w:rFonts w:cs="Arial"/>
                <w:color w:val="000000"/>
                <w:kern w:val="24"/>
                <w:szCs w:val="22"/>
              </w:rPr>
            </w:pPr>
            <w:r w:rsidRPr="00EB518D">
              <w:rPr>
                <w:rFonts w:cs="Arial"/>
                <w:color w:val="000000"/>
                <w:kern w:val="24"/>
                <w:szCs w:val="22"/>
              </w:rPr>
              <w:t xml:space="preserve">Merstham and Banstead South to Reigate division, with the aim of better aligning communities and ensuring co-terminosity with </w:t>
            </w:r>
            <w:r w:rsidR="00D321D5">
              <w:rPr>
                <w:rFonts w:cs="Arial"/>
                <w:color w:val="000000"/>
                <w:kern w:val="24"/>
                <w:szCs w:val="22"/>
              </w:rPr>
              <w:t>b</w:t>
            </w:r>
            <w:r w:rsidRPr="00EB518D">
              <w:rPr>
                <w:rFonts w:cs="Arial"/>
                <w:color w:val="000000"/>
                <w:kern w:val="24"/>
                <w:szCs w:val="22"/>
              </w:rPr>
              <w:t>orough Wards.</w:t>
            </w:r>
          </w:p>
          <w:p w14:paraId="4C9D7F35" w14:textId="77777777" w:rsidR="00A34E06" w:rsidRPr="00EB518D" w:rsidRDefault="00A34E06" w:rsidP="00A34E06">
            <w:pPr>
              <w:spacing w:line="216" w:lineRule="auto"/>
              <w:rPr>
                <w:rFonts w:ascii="Times New Roman" w:hAnsi="Times New Roman"/>
                <w:szCs w:val="22"/>
              </w:rPr>
            </w:pPr>
          </w:p>
          <w:p w14:paraId="0E4F1D66" w14:textId="39E82D53" w:rsidR="00F94593" w:rsidRPr="00EB518D" w:rsidRDefault="00F94593" w:rsidP="00001D2E">
            <w:pPr>
              <w:ind w:left="60"/>
              <w:rPr>
                <w:szCs w:val="22"/>
              </w:rPr>
            </w:pPr>
          </w:p>
        </w:tc>
      </w:tr>
      <w:tr w:rsidR="00001D2E" w14:paraId="084A6F8D" w14:textId="77777777">
        <w:tc>
          <w:tcPr>
            <w:tcW w:w="3045" w:type="dxa"/>
          </w:tcPr>
          <w:p w14:paraId="65038F83" w14:textId="77777777" w:rsidR="00001D2E" w:rsidRPr="001902D7" w:rsidRDefault="00001D2E" w:rsidP="00001D2E">
            <w:pPr>
              <w:spacing w:before="240"/>
              <w:jc w:val="center"/>
              <w:rPr>
                <w:b/>
                <w:bCs/>
              </w:rPr>
            </w:pPr>
            <w:r w:rsidRPr="001902D7">
              <w:rPr>
                <w:b/>
                <w:bCs/>
              </w:rPr>
              <w:t>Nork &amp; Tattenhams</w:t>
            </w:r>
          </w:p>
        </w:tc>
        <w:tc>
          <w:tcPr>
            <w:tcW w:w="1321" w:type="dxa"/>
            <w:vAlign w:val="center"/>
          </w:tcPr>
          <w:p w14:paraId="54A59145" w14:textId="2D44D19C" w:rsidR="00001D2E" w:rsidRDefault="00001D2E" w:rsidP="00001D2E">
            <w:pPr>
              <w:spacing w:before="240"/>
              <w:jc w:val="center"/>
            </w:pPr>
            <w:r>
              <w:rPr>
                <w:rFonts w:cs="Arial"/>
              </w:rPr>
              <w:t>12,</w:t>
            </w:r>
            <w:r w:rsidR="00B30172">
              <w:rPr>
                <w:rFonts w:cs="Arial"/>
              </w:rPr>
              <w:t>648</w:t>
            </w:r>
          </w:p>
        </w:tc>
        <w:tc>
          <w:tcPr>
            <w:tcW w:w="1280" w:type="dxa"/>
            <w:vAlign w:val="center"/>
          </w:tcPr>
          <w:p w14:paraId="6EC2E77E" w14:textId="1FD322EB" w:rsidR="00001D2E" w:rsidRDefault="00B30172" w:rsidP="00001D2E">
            <w:pPr>
              <w:spacing w:before="240"/>
              <w:jc w:val="center"/>
            </w:pPr>
            <w:r>
              <w:rPr>
                <w:rFonts w:cs="Arial"/>
              </w:rPr>
              <w:t>6</w:t>
            </w:r>
            <w:r w:rsidR="00001D2E">
              <w:rPr>
                <w:rFonts w:cs="Arial"/>
              </w:rPr>
              <w:t>%</w:t>
            </w:r>
          </w:p>
        </w:tc>
        <w:tc>
          <w:tcPr>
            <w:tcW w:w="9375" w:type="dxa"/>
          </w:tcPr>
          <w:p w14:paraId="112B470E" w14:textId="77777777" w:rsidR="00001D2E" w:rsidRPr="00E7154F" w:rsidRDefault="00001D2E" w:rsidP="00DF55B2">
            <w:pPr>
              <w:rPr>
                <w:rFonts w:cs="Arial"/>
              </w:rPr>
            </w:pPr>
          </w:p>
          <w:p w14:paraId="44519504" w14:textId="77777777" w:rsidR="00E7154F" w:rsidRPr="00E7154F" w:rsidRDefault="00E7154F" w:rsidP="00613817">
            <w:pPr>
              <w:textAlignment w:val="auto"/>
            </w:pPr>
          </w:p>
          <w:p w14:paraId="08CE8563" w14:textId="3AADB868" w:rsidR="00E7154F" w:rsidRPr="00E7154F" w:rsidRDefault="00E7154F" w:rsidP="00613817">
            <w:pPr>
              <w:textAlignment w:val="auto"/>
            </w:pPr>
            <w:r w:rsidRPr="00E7154F">
              <w:t xml:space="preserve">The </w:t>
            </w:r>
            <w:r w:rsidR="00613817">
              <w:t>d</w:t>
            </w:r>
            <w:r w:rsidRPr="00E7154F">
              <w:t>ivision of Nork &amp; Tattenhams follows the border with the London Borough of Sutton and Epsom &amp; Ewell to the north and west, and the A217 (the main arterial road) to the east. To the south, the border is the common land at Burgh Heath, Chetwode Road (the main east/west axis road in the Preston Hawe estate), the ancient woodland of Pit Wood, and the Tattenham Corner railway line.</w:t>
            </w:r>
          </w:p>
          <w:p w14:paraId="75DFCCA7" w14:textId="77777777" w:rsidR="00E7154F" w:rsidRPr="00E7154F" w:rsidRDefault="00E7154F" w:rsidP="00E7154F">
            <w:pPr>
              <w:ind w:hanging="19"/>
              <w:textAlignment w:val="auto"/>
            </w:pPr>
          </w:p>
          <w:p w14:paraId="25BB0A85" w14:textId="66C42E10" w:rsidR="00E7154F" w:rsidRPr="00E7154F" w:rsidRDefault="00E7154F" w:rsidP="00E7154F">
            <w:pPr>
              <w:ind w:hanging="19"/>
              <w:textAlignment w:val="auto"/>
            </w:pPr>
            <w:r w:rsidRPr="00E7154F">
              <w:t>Nork &amp; Tattenhams, includes the whole of the Borough’s Nork Ward and the larger part of the Borough’s Tattenham Corner &amp; Preston Ward (the Tattenham Corner part). Taken together are part of a homogenous suburban community. They are each served by their own Residents’ Association and church (St Paul’s in Nork, and The United Church of St Mark in Tattenhams), and other community groups. At the centre of the Division is the parkland of Nork Park and the adjacent Tattenhams Recreation Ground. There is no single shopping centre, rather four small shopping parades, with Tattenham Corner being somewhat the largest, and which also includes a health centre and library. Most of the Division looks across Epsom Downs to Epsom town centre in the neighbouring borough as its focus (main shopping centre, hospital, main railway line, theatre, cinema etc), to which there are good bus services, rather than the smaller Banstead Village centre, across the A217 dual carriageway.</w:t>
            </w:r>
          </w:p>
          <w:p w14:paraId="138F60DE" w14:textId="77777777" w:rsidR="00E7154F" w:rsidRPr="00E7154F" w:rsidRDefault="00E7154F" w:rsidP="00E7154F">
            <w:pPr>
              <w:ind w:hanging="19"/>
              <w:textAlignment w:val="auto"/>
            </w:pPr>
          </w:p>
          <w:p w14:paraId="7E83E23C" w14:textId="5885F6C8" w:rsidR="00E7154F" w:rsidRPr="00E7154F" w:rsidRDefault="00E7154F" w:rsidP="00E7154F">
            <w:pPr>
              <w:ind w:hanging="19"/>
              <w:textAlignment w:val="auto"/>
            </w:pPr>
            <w:r w:rsidRPr="00E7154F">
              <w:t>In the interest of electoral equality, part of Tattenham</w:t>
            </w:r>
            <w:r w:rsidRPr="00E7154F">
              <w:rPr>
                <w:strike/>
              </w:rPr>
              <w:t>s</w:t>
            </w:r>
            <w:r w:rsidRPr="00E7154F">
              <w:t xml:space="preserve"> Corner &amp; Preston Ward (304 electors) is proposed as part of the Tadworth, Walton and Kingswood Division. These are:</w:t>
            </w:r>
          </w:p>
          <w:p w14:paraId="248B23D7" w14:textId="77777777" w:rsidR="00E7154F" w:rsidRPr="00E7154F" w:rsidRDefault="00E7154F" w:rsidP="00E7154F">
            <w:pPr>
              <w:numPr>
                <w:ilvl w:val="0"/>
                <w:numId w:val="40"/>
              </w:numPr>
              <w:ind w:left="993" w:hanging="567"/>
              <w:contextualSpacing/>
              <w:textAlignment w:val="auto"/>
            </w:pPr>
            <w:r w:rsidRPr="00E7154F">
              <w:t>The whole of Chetwode Road (262 electors) and the following small changes involving 42 electors:</w:t>
            </w:r>
          </w:p>
          <w:p w14:paraId="08EAB551" w14:textId="77777777" w:rsidR="00E7154F" w:rsidRPr="00E7154F" w:rsidRDefault="00E7154F" w:rsidP="00E7154F">
            <w:pPr>
              <w:numPr>
                <w:ilvl w:val="0"/>
                <w:numId w:val="40"/>
              </w:numPr>
              <w:ind w:left="993" w:hanging="567"/>
              <w:contextualSpacing/>
              <w:textAlignment w:val="auto"/>
            </w:pPr>
            <w:r w:rsidRPr="00E7154F">
              <w:t>The adjacent flats (Nos. 87–99 odds) in Merland Rise, and</w:t>
            </w:r>
          </w:p>
          <w:p w14:paraId="2F3A9F78" w14:textId="77777777" w:rsidR="00E7154F" w:rsidRPr="00E7154F" w:rsidRDefault="00E7154F" w:rsidP="00E7154F">
            <w:pPr>
              <w:numPr>
                <w:ilvl w:val="0"/>
                <w:numId w:val="40"/>
              </w:numPr>
              <w:ind w:left="993" w:hanging="567"/>
              <w:contextualSpacing/>
              <w:textAlignment w:val="auto"/>
            </w:pPr>
            <w:r w:rsidRPr="00E7154F">
              <w:t>Part of Whitegate Way (Nos. 33-63 odds and No. 30 evens).</w:t>
            </w:r>
          </w:p>
          <w:p w14:paraId="77049D86" w14:textId="77777777" w:rsidR="00E7154F" w:rsidRPr="00E7154F" w:rsidRDefault="00E7154F" w:rsidP="00E7154F">
            <w:pPr>
              <w:textAlignment w:val="auto"/>
            </w:pPr>
          </w:p>
          <w:p w14:paraId="071C2335" w14:textId="77777777" w:rsidR="00E7154F" w:rsidRPr="00E7154F" w:rsidRDefault="00E7154F" w:rsidP="00E7154F">
            <w:pPr>
              <w:textAlignment w:val="auto"/>
            </w:pPr>
            <w:r w:rsidRPr="00E7154F">
              <w:t>This will move 2.6% of electors between the two divisions, providing an element of future proofing to the review. The rationale for the changes is set out below.</w:t>
            </w:r>
          </w:p>
          <w:p w14:paraId="5D7F4FBD" w14:textId="77777777" w:rsidR="00E7154F" w:rsidRPr="00E7154F" w:rsidRDefault="00E7154F" w:rsidP="00E7154F">
            <w:pPr>
              <w:numPr>
                <w:ilvl w:val="0"/>
                <w:numId w:val="41"/>
              </w:numPr>
              <w:ind w:left="1134" w:hanging="708"/>
              <w:contextualSpacing/>
              <w:textAlignment w:val="auto"/>
            </w:pPr>
            <w:r w:rsidRPr="00E7154F">
              <w:t>This change will ensure that Chetwode Road remains the visible boundary between the two divisions, albeit reallocated to the neighbouring division.</w:t>
            </w:r>
          </w:p>
          <w:p w14:paraId="7822FB4B" w14:textId="77777777" w:rsidR="00E7154F" w:rsidRPr="00E7154F" w:rsidRDefault="00E7154F" w:rsidP="00E7154F">
            <w:pPr>
              <w:numPr>
                <w:ilvl w:val="0"/>
                <w:numId w:val="41"/>
              </w:numPr>
              <w:ind w:left="1134" w:hanging="708"/>
              <w:contextualSpacing/>
              <w:textAlignment w:val="auto"/>
            </w:pPr>
            <w:r w:rsidRPr="00E7154F">
              <w:t>This minor change will ensure that all the properties south of Chetwode Road are in the same division.</w:t>
            </w:r>
          </w:p>
          <w:p w14:paraId="710F7330" w14:textId="77777777" w:rsidR="00E7154F" w:rsidRPr="00E7154F" w:rsidRDefault="00E7154F" w:rsidP="00E7154F">
            <w:pPr>
              <w:numPr>
                <w:ilvl w:val="0"/>
                <w:numId w:val="41"/>
              </w:numPr>
              <w:ind w:left="1134" w:hanging="708"/>
              <w:contextualSpacing/>
              <w:textAlignment w:val="auto"/>
            </w:pPr>
            <w:r w:rsidRPr="00E7154F">
              <w:t>This change will ensure that all properties in this road are in the same division.</w:t>
            </w:r>
          </w:p>
          <w:p w14:paraId="78C2FDE2" w14:textId="77777777" w:rsidR="00E7154F" w:rsidRPr="00E7154F" w:rsidRDefault="00E7154F" w:rsidP="00E7154F">
            <w:pPr>
              <w:textAlignment w:val="auto"/>
            </w:pPr>
          </w:p>
          <w:p w14:paraId="6B92B445" w14:textId="24D8529E" w:rsidR="00E7154F" w:rsidRPr="00E7154F" w:rsidRDefault="00E7154F" w:rsidP="00E7154F">
            <w:pPr>
              <w:textAlignment w:val="auto"/>
            </w:pPr>
            <w:r w:rsidRPr="00E7154F">
              <w:t>These changes are the same as those proposed by the County Council in the 2011 Boundary Review. They were rejected by the Boundary Commission in that review, stating “the existing boundary should be retained, as it achieves co</w:t>
            </w:r>
            <w:r w:rsidR="00385F7D">
              <w:t>-</w:t>
            </w:r>
            <w:r w:rsidRPr="00E7154F">
              <w:t>terminosity with the district ward boundary and does not split the community in Tattenhams” (paragraph 74, July 2011 report).</w:t>
            </w:r>
          </w:p>
          <w:p w14:paraId="761AADEE" w14:textId="77777777" w:rsidR="00E7154F" w:rsidRPr="00E7154F" w:rsidRDefault="00E7154F" w:rsidP="00E7154F">
            <w:pPr>
              <w:textAlignment w:val="auto"/>
            </w:pPr>
          </w:p>
          <w:p w14:paraId="788F6ED4" w14:textId="4DBA03BA" w:rsidR="00E7154F" w:rsidRPr="00E7154F" w:rsidRDefault="00E7154F" w:rsidP="00E7154F">
            <w:pPr>
              <w:textAlignment w:val="auto"/>
            </w:pPr>
            <w:r w:rsidRPr="00E7154F">
              <w:t xml:space="preserve">This recommendation is resubmitted because the Boundary Commission’s review of Reigate &amp; Banstead Borough Council, in the intervening period, has changed the </w:t>
            </w:r>
            <w:r w:rsidR="00385F7D">
              <w:t>b</w:t>
            </w:r>
            <w:r w:rsidRPr="00E7154F">
              <w:t>orough ward boundaries. The single-member Preston ward has been combined with the Tattenhams ward to form the three-member Tattenham Corner &amp; Preston ward. The argument for co</w:t>
            </w:r>
            <w:r w:rsidR="00385F7D">
              <w:t>-</w:t>
            </w:r>
            <w:r w:rsidRPr="00E7154F">
              <w:t xml:space="preserve">terminosity has fallen away. The change now re-proposed will not impact the ward boundary, with all the electors being moved between County divisions </w:t>
            </w:r>
            <w:r w:rsidR="008963D0">
              <w:t>remaining</w:t>
            </w:r>
            <w:r w:rsidRPr="00E7154F">
              <w:t xml:space="preserve"> in the Tattenham Corner &amp; Preston Borough ward, and part of the same community.</w:t>
            </w:r>
          </w:p>
          <w:p w14:paraId="641B59A1" w14:textId="1B25B8B2" w:rsidR="00E7154F" w:rsidRPr="00E7154F" w:rsidRDefault="00E7154F" w:rsidP="00DF55B2">
            <w:pPr>
              <w:rPr>
                <w:rFonts w:cs="Arial"/>
              </w:rPr>
            </w:pPr>
          </w:p>
        </w:tc>
      </w:tr>
      <w:tr w:rsidR="001902D7" w14:paraId="4DD66122" w14:textId="77777777">
        <w:tc>
          <w:tcPr>
            <w:tcW w:w="3045" w:type="dxa"/>
          </w:tcPr>
          <w:p w14:paraId="31343D28" w14:textId="2C1F4170" w:rsidR="00280041" w:rsidRDefault="00280041" w:rsidP="002B3982">
            <w:pPr>
              <w:tabs>
                <w:tab w:val="left" w:pos="570"/>
                <w:tab w:val="center" w:pos="1414"/>
              </w:tabs>
              <w:spacing w:before="240"/>
              <w:jc w:val="center"/>
              <w:rPr>
                <w:b/>
                <w:bCs/>
              </w:rPr>
            </w:pPr>
          </w:p>
          <w:p w14:paraId="71F3D7FC" w14:textId="461E3D5B" w:rsidR="00280041" w:rsidRDefault="00280041" w:rsidP="002B3982">
            <w:pPr>
              <w:tabs>
                <w:tab w:val="left" w:pos="570"/>
                <w:tab w:val="center" w:pos="1414"/>
              </w:tabs>
              <w:spacing w:before="240"/>
              <w:jc w:val="center"/>
              <w:rPr>
                <w:b/>
                <w:bCs/>
              </w:rPr>
            </w:pPr>
            <w:r w:rsidRPr="00280041">
              <w:rPr>
                <w:b/>
                <w:bCs/>
              </w:rPr>
              <w:t>Redhill East and North Earlswood</w:t>
            </w:r>
          </w:p>
          <w:p w14:paraId="6A907688" w14:textId="77777777" w:rsidR="00280041" w:rsidRDefault="00280041" w:rsidP="002B3982">
            <w:pPr>
              <w:tabs>
                <w:tab w:val="left" w:pos="570"/>
                <w:tab w:val="center" w:pos="1414"/>
              </w:tabs>
              <w:spacing w:before="240"/>
              <w:jc w:val="center"/>
              <w:rPr>
                <w:b/>
                <w:bCs/>
              </w:rPr>
            </w:pPr>
          </w:p>
          <w:p w14:paraId="2AA62394" w14:textId="0385D8AD" w:rsidR="001902D7" w:rsidRPr="00E459CF" w:rsidRDefault="00E459CF" w:rsidP="002B3982">
            <w:pPr>
              <w:tabs>
                <w:tab w:val="left" w:pos="570"/>
                <w:tab w:val="center" w:pos="1414"/>
              </w:tabs>
              <w:spacing w:before="240"/>
              <w:jc w:val="center"/>
              <w:rPr>
                <w:b/>
                <w:i/>
              </w:rPr>
            </w:pPr>
            <w:r>
              <w:rPr>
                <w:b/>
                <w:bCs/>
                <w:i/>
                <w:iCs/>
              </w:rPr>
              <w:t>Currently known as</w:t>
            </w:r>
            <w:r w:rsidR="00280041">
              <w:rPr>
                <w:b/>
                <w:i/>
              </w:rPr>
              <w:t xml:space="preserve"> </w:t>
            </w:r>
            <w:r w:rsidR="001902D7">
              <w:rPr>
                <w:b/>
                <w:i/>
              </w:rPr>
              <w:t>Redhill East</w:t>
            </w:r>
          </w:p>
        </w:tc>
        <w:tc>
          <w:tcPr>
            <w:tcW w:w="1321" w:type="dxa"/>
            <w:vAlign w:val="center"/>
          </w:tcPr>
          <w:p w14:paraId="42AFB6D0" w14:textId="5860FEDE" w:rsidR="001902D7" w:rsidRDefault="001902D7" w:rsidP="001902D7">
            <w:pPr>
              <w:spacing w:before="240"/>
              <w:jc w:val="center"/>
            </w:pPr>
            <w:r>
              <w:rPr>
                <w:rFonts w:cs="Arial"/>
              </w:rPr>
              <w:t>11,</w:t>
            </w:r>
            <w:r w:rsidR="00AE7CD8">
              <w:rPr>
                <w:rFonts w:cs="Arial"/>
              </w:rPr>
              <w:t>672</w:t>
            </w:r>
          </w:p>
        </w:tc>
        <w:tc>
          <w:tcPr>
            <w:tcW w:w="1280" w:type="dxa"/>
            <w:vAlign w:val="center"/>
          </w:tcPr>
          <w:p w14:paraId="6A051F6E" w14:textId="335EB1A1" w:rsidR="001902D7" w:rsidRDefault="001902D7" w:rsidP="001902D7">
            <w:pPr>
              <w:spacing w:before="240"/>
              <w:jc w:val="center"/>
            </w:pPr>
            <w:r>
              <w:rPr>
                <w:rFonts w:cs="Arial"/>
              </w:rPr>
              <w:t>-</w:t>
            </w:r>
            <w:r w:rsidR="005331FB">
              <w:rPr>
                <w:rFonts w:cs="Arial"/>
              </w:rPr>
              <w:t>2%</w:t>
            </w:r>
            <w:r>
              <w:rPr>
                <w:rFonts w:cs="Arial"/>
              </w:rPr>
              <w:t>%</w:t>
            </w:r>
          </w:p>
        </w:tc>
        <w:tc>
          <w:tcPr>
            <w:tcW w:w="9375" w:type="dxa"/>
          </w:tcPr>
          <w:p w14:paraId="77457789" w14:textId="77777777" w:rsidR="001902D7" w:rsidRPr="00B4474C" w:rsidRDefault="001902D7" w:rsidP="001902D7">
            <w:pPr>
              <w:ind w:left="60"/>
            </w:pPr>
          </w:p>
          <w:p w14:paraId="3F07C9DE" w14:textId="1FD68FA7" w:rsidR="001902D7" w:rsidRPr="00B4474C" w:rsidRDefault="001902D7" w:rsidP="001902D7">
            <w:pPr>
              <w:pStyle w:val="BodyTextIndent"/>
              <w:ind w:left="0" w:firstLine="0"/>
            </w:pPr>
            <w:r w:rsidRPr="00B4474C">
              <w:t xml:space="preserve">Redhill is a large town to the east of the </w:t>
            </w:r>
            <w:r w:rsidR="00D06CC8">
              <w:t>b</w:t>
            </w:r>
            <w:r w:rsidRPr="00B4474C">
              <w:t xml:space="preserve">orough, within the more urban central area.  </w:t>
            </w:r>
          </w:p>
          <w:p w14:paraId="28D8104F" w14:textId="77777777" w:rsidR="001902D7" w:rsidRPr="00B4474C" w:rsidRDefault="001902D7" w:rsidP="001902D7">
            <w:pPr>
              <w:ind w:left="60"/>
            </w:pPr>
          </w:p>
          <w:p w14:paraId="1AE239FA" w14:textId="5F09F75B" w:rsidR="00427106" w:rsidRPr="00B4474C" w:rsidRDefault="001902D7" w:rsidP="001902D7">
            <w:pPr>
              <w:pStyle w:val="BodyTextIndent2"/>
              <w:rPr>
                <w:b w:val="0"/>
                <w:bCs w:val="0"/>
                <w:color w:val="auto"/>
              </w:rPr>
            </w:pPr>
            <w:r w:rsidRPr="00B4474C">
              <w:rPr>
                <w:b w:val="0"/>
                <w:bCs w:val="0"/>
                <w:color w:val="auto"/>
              </w:rPr>
              <w:t xml:space="preserve">The eastern boundary of the </w:t>
            </w:r>
            <w:r w:rsidR="00E459CF">
              <w:rPr>
                <w:b w:val="0"/>
                <w:bCs w:val="0"/>
                <w:color w:val="auto"/>
              </w:rPr>
              <w:t>d</w:t>
            </w:r>
            <w:r w:rsidRPr="00B4474C">
              <w:rPr>
                <w:b w:val="0"/>
                <w:bCs w:val="0"/>
                <w:color w:val="auto"/>
              </w:rPr>
              <w:t>ivision is the border with Tandridge while the north-west follows the edge of Gatton Park along the A23/A242, taking in St Bede’s School before heading west on Carlton Road</w:t>
            </w:r>
            <w:r w:rsidR="00427106" w:rsidRPr="00B4474C">
              <w:rPr>
                <w:b w:val="0"/>
                <w:bCs w:val="0"/>
                <w:color w:val="auto"/>
              </w:rPr>
              <w:t xml:space="preserve">. </w:t>
            </w:r>
            <w:r w:rsidR="004F0900" w:rsidRPr="00B4474C">
              <w:rPr>
                <w:b w:val="0"/>
                <w:bCs w:val="0"/>
                <w:color w:val="auto"/>
              </w:rPr>
              <w:t xml:space="preserve">A slight amendment is suggested to the northern boundary so that the </w:t>
            </w:r>
            <w:r w:rsidR="00150784">
              <w:rPr>
                <w:b w:val="0"/>
                <w:bCs w:val="0"/>
                <w:color w:val="auto"/>
              </w:rPr>
              <w:t>d</w:t>
            </w:r>
            <w:r w:rsidR="00460141" w:rsidRPr="00B4474C">
              <w:rPr>
                <w:b w:val="0"/>
                <w:bCs w:val="0"/>
                <w:color w:val="auto"/>
              </w:rPr>
              <w:t xml:space="preserve">ivision </w:t>
            </w:r>
            <w:r w:rsidR="00D641EC">
              <w:rPr>
                <w:b w:val="0"/>
                <w:bCs w:val="0"/>
                <w:color w:val="auto"/>
              </w:rPr>
              <w:t xml:space="preserve">no longer </w:t>
            </w:r>
            <w:r w:rsidR="00900675" w:rsidRPr="00B4474C">
              <w:rPr>
                <w:b w:val="0"/>
                <w:bCs w:val="0"/>
                <w:color w:val="auto"/>
              </w:rPr>
              <w:t xml:space="preserve">includes </w:t>
            </w:r>
            <w:r w:rsidR="00150784">
              <w:rPr>
                <w:b w:val="0"/>
                <w:bCs w:val="0"/>
                <w:color w:val="auto"/>
              </w:rPr>
              <w:t>p</w:t>
            </w:r>
            <w:r w:rsidR="00900675" w:rsidRPr="00B4474C">
              <w:rPr>
                <w:b w:val="0"/>
                <w:bCs w:val="0"/>
                <w:color w:val="auto"/>
              </w:rPr>
              <w:t xml:space="preserve">olling </w:t>
            </w:r>
            <w:r w:rsidR="00150784">
              <w:rPr>
                <w:b w:val="0"/>
                <w:bCs w:val="0"/>
                <w:color w:val="auto"/>
              </w:rPr>
              <w:t>d</w:t>
            </w:r>
            <w:r w:rsidR="00900675" w:rsidRPr="00B4474C">
              <w:rPr>
                <w:b w:val="0"/>
                <w:bCs w:val="0"/>
                <w:color w:val="auto"/>
              </w:rPr>
              <w:t xml:space="preserve">istrict HMN7 from Mersham and Banstead. </w:t>
            </w:r>
            <w:r w:rsidR="00D15F83" w:rsidRPr="00B4474C">
              <w:rPr>
                <w:b w:val="0"/>
                <w:bCs w:val="0"/>
                <w:color w:val="auto"/>
              </w:rPr>
              <w:t xml:space="preserve">It is felt that the people who live in this area identify as being more part of Merstham than they do Redhill. </w:t>
            </w:r>
            <w:r w:rsidR="00B4474C" w:rsidRPr="00B4474C">
              <w:rPr>
                <w:b w:val="0"/>
                <w:bCs w:val="0"/>
                <w:color w:val="auto"/>
              </w:rPr>
              <w:t xml:space="preserve">The move also improves co-terminosity with the </w:t>
            </w:r>
            <w:r w:rsidR="002B3982">
              <w:rPr>
                <w:b w:val="0"/>
                <w:bCs w:val="0"/>
                <w:color w:val="auto"/>
              </w:rPr>
              <w:t>b</w:t>
            </w:r>
            <w:r w:rsidR="00B4474C" w:rsidRPr="00B4474C">
              <w:rPr>
                <w:b w:val="0"/>
                <w:bCs w:val="0"/>
                <w:color w:val="auto"/>
              </w:rPr>
              <w:t xml:space="preserve">orough </w:t>
            </w:r>
            <w:r w:rsidR="00D641EC">
              <w:rPr>
                <w:b w:val="0"/>
                <w:bCs w:val="0"/>
                <w:color w:val="auto"/>
              </w:rPr>
              <w:t>w</w:t>
            </w:r>
            <w:r w:rsidR="00B4474C" w:rsidRPr="00B4474C">
              <w:rPr>
                <w:b w:val="0"/>
                <w:bCs w:val="0"/>
                <w:color w:val="auto"/>
              </w:rPr>
              <w:t>ard</w:t>
            </w:r>
            <w:r w:rsidR="00D641EC">
              <w:rPr>
                <w:b w:val="0"/>
                <w:bCs w:val="0"/>
                <w:color w:val="auto"/>
              </w:rPr>
              <w:t>s.</w:t>
            </w:r>
          </w:p>
          <w:p w14:paraId="187FF2E9" w14:textId="77777777" w:rsidR="00427106" w:rsidRPr="00B4474C" w:rsidRDefault="00427106" w:rsidP="001902D7">
            <w:pPr>
              <w:pStyle w:val="BodyTextIndent2"/>
              <w:rPr>
                <w:b w:val="0"/>
                <w:bCs w:val="0"/>
                <w:color w:val="auto"/>
              </w:rPr>
            </w:pPr>
          </w:p>
          <w:p w14:paraId="03F66532" w14:textId="5C4F6443" w:rsidR="001902D7" w:rsidRDefault="001902D7" w:rsidP="001902D7">
            <w:pPr>
              <w:pStyle w:val="BodyTextIndent2"/>
              <w:rPr>
                <w:b w:val="0"/>
                <w:bCs w:val="0"/>
                <w:color w:val="auto"/>
              </w:rPr>
            </w:pPr>
            <w:r w:rsidRPr="00B4474C">
              <w:rPr>
                <w:b w:val="0"/>
                <w:bCs w:val="0"/>
                <w:color w:val="auto"/>
              </w:rPr>
              <w:t xml:space="preserve">The boundary follows the south side of the A25 (Station Road) and the western side of the High Street to the railway.  Where the railways merge heading into Redhill, the boundary heads south-east on the railway to Kingswood Business Centre and follows the edge of Rural Way, Redstone Hollow and Woodside Way down to the railway again and out to the </w:t>
            </w:r>
            <w:r w:rsidR="002B3982">
              <w:rPr>
                <w:b w:val="0"/>
                <w:bCs w:val="0"/>
                <w:color w:val="auto"/>
              </w:rPr>
              <w:t>b</w:t>
            </w:r>
            <w:r w:rsidRPr="00B4474C">
              <w:rPr>
                <w:b w:val="0"/>
                <w:bCs w:val="0"/>
                <w:color w:val="auto"/>
              </w:rPr>
              <w:t>orough boundary.</w:t>
            </w:r>
          </w:p>
          <w:p w14:paraId="00D7295F" w14:textId="77777777" w:rsidR="00B4474C" w:rsidRDefault="00B4474C" w:rsidP="001902D7">
            <w:pPr>
              <w:pStyle w:val="BodyTextIndent2"/>
              <w:rPr>
                <w:b w:val="0"/>
                <w:bCs w:val="0"/>
                <w:color w:val="auto"/>
              </w:rPr>
            </w:pPr>
          </w:p>
          <w:p w14:paraId="0B39D024" w14:textId="213A1E6C" w:rsidR="00B4474C" w:rsidRPr="00B4474C" w:rsidRDefault="00B4474C" w:rsidP="001902D7">
            <w:pPr>
              <w:pStyle w:val="BodyTextIndent2"/>
              <w:rPr>
                <w:b w:val="0"/>
                <w:bCs w:val="0"/>
                <w:color w:val="auto"/>
              </w:rPr>
            </w:pPr>
            <w:r>
              <w:rPr>
                <w:b w:val="0"/>
                <w:bCs w:val="0"/>
                <w:color w:val="auto"/>
              </w:rPr>
              <w:t xml:space="preserve">It is suggested that the </w:t>
            </w:r>
            <w:r w:rsidR="00150784">
              <w:rPr>
                <w:b w:val="0"/>
                <w:bCs w:val="0"/>
                <w:color w:val="auto"/>
              </w:rPr>
              <w:t>d</w:t>
            </w:r>
            <w:r>
              <w:rPr>
                <w:b w:val="0"/>
                <w:bCs w:val="0"/>
                <w:color w:val="auto"/>
              </w:rPr>
              <w:t xml:space="preserve">ivision name is amended from </w:t>
            </w:r>
            <w:r w:rsidR="00E51367">
              <w:rPr>
                <w:b w:val="0"/>
                <w:bCs w:val="0"/>
                <w:color w:val="auto"/>
              </w:rPr>
              <w:t xml:space="preserve">‘Redhill East’ to Redhill East and North Earlswood’, to better reflect the </w:t>
            </w:r>
            <w:r w:rsidR="00791915">
              <w:rPr>
                <w:b w:val="0"/>
                <w:bCs w:val="0"/>
                <w:color w:val="auto"/>
              </w:rPr>
              <w:t>communities</w:t>
            </w:r>
            <w:r w:rsidR="00E51367">
              <w:rPr>
                <w:b w:val="0"/>
                <w:bCs w:val="0"/>
                <w:color w:val="auto"/>
              </w:rPr>
              <w:t xml:space="preserve"> which it represents</w:t>
            </w:r>
            <w:r w:rsidR="00F86432">
              <w:rPr>
                <w:b w:val="0"/>
                <w:bCs w:val="0"/>
                <w:color w:val="auto"/>
              </w:rPr>
              <w:t>, with around 1/3 of the division in an area that identifies as being in North Earlswood.</w:t>
            </w:r>
          </w:p>
          <w:p w14:paraId="1E94CF03" w14:textId="77777777" w:rsidR="001902D7" w:rsidRPr="00B4474C" w:rsidRDefault="001902D7" w:rsidP="001902D7"/>
        </w:tc>
      </w:tr>
      <w:tr w:rsidR="001902D7" w14:paraId="0CECD36F" w14:textId="77777777">
        <w:tc>
          <w:tcPr>
            <w:tcW w:w="3045" w:type="dxa"/>
          </w:tcPr>
          <w:p w14:paraId="34593449" w14:textId="77777777" w:rsidR="001902D7" w:rsidRPr="001902D7" w:rsidRDefault="001902D7" w:rsidP="001902D7">
            <w:pPr>
              <w:spacing w:before="240"/>
              <w:jc w:val="center"/>
              <w:rPr>
                <w:b/>
                <w:bCs/>
              </w:rPr>
            </w:pPr>
            <w:r w:rsidRPr="001902D7">
              <w:rPr>
                <w:b/>
                <w:bCs/>
              </w:rPr>
              <w:t>Reigate</w:t>
            </w:r>
          </w:p>
        </w:tc>
        <w:tc>
          <w:tcPr>
            <w:tcW w:w="1321" w:type="dxa"/>
            <w:vAlign w:val="center"/>
          </w:tcPr>
          <w:p w14:paraId="5D37B3AD" w14:textId="31A1C757" w:rsidR="001902D7" w:rsidRDefault="001902D7" w:rsidP="001902D7">
            <w:pPr>
              <w:spacing w:before="240"/>
              <w:jc w:val="center"/>
            </w:pPr>
            <w:r>
              <w:rPr>
                <w:rFonts w:cs="Arial"/>
              </w:rPr>
              <w:t>11,</w:t>
            </w:r>
            <w:r w:rsidR="00FD021E">
              <w:rPr>
                <w:rFonts w:cs="Arial"/>
              </w:rPr>
              <w:t>335</w:t>
            </w:r>
          </w:p>
        </w:tc>
        <w:tc>
          <w:tcPr>
            <w:tcW w:w="1280" w:type="dxa"/>
            <w:vAlign w:val="center"/>
          </w:tcPr>
          <w:p w14:paraId="3CF4E7E9" w14:textId="3EBBF076" w:rsidR="001902D7" w:rsidRDefault="001902D7" w:rsidP="001902D7">
            <w:pPr>
              <w:spacing w:before="240"/>
              <w:jc w:val="center"/>
            </w:pPr>
            <w:r>
              <w:rPr>
                <w:rFonts w:cs="Arial"/>
              </w:rPr>
              <w:t>-</w:t>
            </w:r>
            <w:r w:rsidR="002B4FAD">
              <w:rPr>
                <w:rFonts w:cs="Arial"/>
              </w:rPr>
              <w:t>5</w:t>
            </w:r>
            <w:r>
              <w:rPr>
                <w:rFonts w:cs="Arial"/>
              </w:rPr>
              <w:t>%</w:t>
            </w:r>
          </w:p>
        </w:tc>
        <w:tc>
          <w:tcPr>
            <w:tcW w:w="9375" w:type="dxa"/>
          </w:tcPr>
          <w:p w14:paraId="1879C1CC" w14:textId="77777777" w:rsidR="001902D7" w:rsidRDefault="001902D7" w:rsidP="001902D7">
            <w:pPr>
              <w:ind w:left="60"/>
            </w:pPr>
          </w:p>
          <w:p w14:paraId="120C6702" w14:textId="5B48495B" w:rsidR="001902D7" w:rsidRDefault="001902D7" w:rsidP="00551D22">
            <w:pPr>
              <w:rPr>
                <w:rFonts w:cs="Arial"/>
              </w:rPr>
            </w:pPr>
            <w:r>
              <w:rPr>
                <w:rFonts w:cs="Arial"/>
              </w:rPr>
              <w:t>Alongside Redhill, the town of Reigate completes the urban centre just south of the M25.  .</w:t>
            </w:r>
            <w:r w:rsidR="004735E5">
              <w:rPr>
                <w:rFonts w:cs="Arial"/>
              </w:rPr>
              <w:t xml:space="preserve"> </w:t>
            </w:r>
            <w:r>
              <w:rPr>
                <w:rFonts w:cs="Arial"/>
              </w:rPr>
              <w:t>Reigate functions as a single integrated community, it therefore makes a sensible division.</w:t>
            </w:r>
          </w:p>
          <w:p w14:paraId="389BDE4E" w14:textId="77777777" w:rsidR="00310171" w:rsidRDefault="00310171" w:rsidP="001902D7">
            <w:pPr>
              <w:ind w:left="60"/>
              <w:rPr>
                <w:rFonts w:cs="Arial"/>
              </w:rPr>
            </w:pPr>
          </w:p>
          <w:p w14:paraId="3F145C45" w14:textId="5F625401" w:rsidR="00310171" w:rsidRDefault="00310171" w:rsidP="00551D22">
            <w:pPr>
              <w:rPr>
                <w:rFonts w:cs="Arial"/>
              </w:rPr>
            </w:pPr>
            <w:r>
              <w:rPr>
                <w:rFonts w:cs="Arial"/>
              </w:rPr>
              <w:t>There are t</w:t>
            </w:r>
            <w:r w:rsidR="00102B93">
              <w:rPr>
                <w:rFonts w:cs="Arial"/>
              </w:rPr>
              <w:t xml:space="preserve">wo </w:t>
            </w:r>
            <w:r>
              <w:rPr>
                <w:rFonts w:cs="Arial"/>
              </w:rPr>
              <w:t xml:space="preserve">suggested changes to the Reigate </w:t>
            </w:r>
            <w:r w:rsidR="00654D89">
              <w:rPr>
                <w:rFonts w:cs="Arial"/>
              </w:rPr>
              <w:t>d</w:t>
            </w:r>
            <w:r>
              <w:rPr>
                <w:rFonts w:cs="Arial"/>
              </w:rPr>
              <w:t xml:space="preserve">ivision. </w:t>
            </w:r>
          </w:p>
          <w:p w14:paraId="05EFE4BB" w14:textId="77777777" w:rsidR="000B75DA" w:rsidRDefault="000B75DA" w:rsidP="001902D7">
            <w:pPr>
              <w:ind w:left="60"/>
              <w:rPr>
                <w:rFonts w:cs="Arial"/>
              </w:rPr>
            </w:pPr>
          </w:p>
          <w:p w14:paraId="3EC89599" w14:textId="713A31E9" w:rsidR="000B75DA" w:rsidRDefault="000B75DA" w:rsidP="000B75DA">
            <w:pPr>
              <w:spacing w:line="216" w:lineRule="auto"/>
              <w:rPr>
                <w:rFonts w:cs="Arial"/>
                <w:color w:val="000000"/>
                <w:kern w:val="24"/>
                <w:szCs w:val="22"/>
              </w:rPr>
            </w:pPr>
            <w:r>
              <w:rPr>
                <w:rFonts w:cs="Arial"/>
              </w:rPr>
              <w:t>Firstly, as has already been mentioned above, mov</w:t>
            </w:r>
            <w:r w:rsidR="00551D22">
              <w:rPr>
                <w:rFonts w:cs="Arial"/>
              </w:rPr>
              <w:t>e</w:t>
            </w:r>
            <w:r>
              <w:rPr>
                <w:rFonts w:cs="Arial"/>
              </w:rPr>
              <w:t xml:space="preserve"> both </w:t>
            </w:r>
            <w:r w:rsidR="00551D22">
              <w:rPr>
                <w:rFonts w:cs="Arial"/>
              </w:rPr>
              <w:t>p</w:t>
            </w:r>
            <w:r w:rsidRPr="00EB518D">
              <w:rPr>
                <w:rFonts w:cs="Arial"/>
                <w:color w:val="000000"/>
                <w:kern w:val="24"/>
                <w:szCs w:val="22"/>
              </w:rPr>
              <w:t xml:space="preserve">olling </w:t>
            </w:r>
            <w:r w:rsidR="00551D22">
              <w:rPr>
                <w:rFonts w:cs="Arial"/>
                <w:color w:val="000000"/>
                <w:kern w:val="24"/>
                <w:szCs w:val="22"/>
              </w:rPr>
              <w:t>d</w:t>
            </w:r>
            <w:r w:rsidRPr="00EB518D">
              <w:rPr>
                <w:rFonts w:cs="Arial"/>
                <w:color w:val="000000"/>
                <w:kern w:val="24"/>
                <w:szCs w:val="22"/>
              </w:rPr>
              <w:t>istricts RDW1 and RGT1 from Merstham and Banstead South to Reigate division</w:t>
            </w:r>
            <w:r>
              <w:rPr>
                <w:rFonts w:cs="Arial"/>
                <w:color w:val="000000"/>
                <w:kern w:val="24"/>
                <w:szCs w:val="22"/>
              </w:rPr>
              <w:t xml:space="preserve">. This would better </w:t>
            </w:r>
            <w:r w:rsidRPr="00EB518D">
              <w:rPr>
                <w:rFonts w:cs="Arial"/>
                <w:color w:val="000000"/>
                <w:kern w:val="24"/>
                <w:szCs w:val="22"/>
              </w:rPr>
              <w:t>align</w:t>
            </w:r>
            <w:r>
              <w:rPr>
                <w:rFonts w:cs="Arial"/>
                <w:color w:val="000000"/>
                <w:kern w:val="24"/>
                <w:szCs w:val="22"/>
              </w:rPr>
              <w:t xml:space="preserve"> </w:t>
            </w:r>
            <w:r w:rsidRPr="00EB518D">
              <w:rPr>
                <w:rFonts w:cs="Arial"/>
                <w:color w:val="000000"/>
                <w:kern w:val="24"/>
                <w:szCs w:val="22"/>
              </w:rPr>
              <w:t>communities and ensu</w:t>
            </w:r>
            <w:r w:rsidR="00551D22">
              <w:rPr>
                <w:rFonts w:cs="Arial"/>
                <w:color w:val="000000"/>
                <w:kern w:val="24"/>
                <w:szCs w:val="22"/>
              </w:rPr>
              <w:t>re</w:t>
            </w:r>
            <w:r w:rsidRPr="00EB518D">
              <w:rPr>
                <w:rFonts w:cs="Arial"/>
                <w:color w:val="000000"/>
                <w:kern w:val="24"/>
                <w:szCs w:val="22"/>
              </w:rPr>
              <w:t xml:space="preserve"> co-terminosity with </w:t>
            </w:r>
            <w:r w:rsidR="009E6492">
              <w:rPr>
                <w:rFonts w:cs="Arial"/>
                <w:color w:val="000000"/>
                <w:kern w:val="24"/>
                <w:szCs w:val="22"/>
              </w:rPr>
              <w:t>b</w:t>
            </w:r>
            <w:r w:rsidR="00D06CC8">
              <w:rPr>
                <w:rFonts w:cs="Arial"/>
                <w:color w:val="000000"/>
                <w:kern w:val="24"/>
                <w:szCs w:val="22"/>
              </w:rPr>
              <w:t>o</w:t>
            </w:r>
            <w:r w:rsidR="009E6492">
              <w:rPr>
                <w:rFonts w:cs="Arial"/>
                <w:color w:val="000000"/>
                <w:kern w:val="24"/>
                <w:szCs w:val="22"/>
              </w:rPr>
              <w:t xml:space="preserve">rough </w:t>
            </w:r>
            <w:r w:rsidRPr="00EB518D">
              <w:rPr>
                <w:rFonts w:cs="Arial"/>
                <w:color w:val="000000"/>
                <w:kern w:val="24"/>
                <w:szCs w:val="22"/>
              </w:rPr>
              <w:t>Wards.</w:t>
            </w:r>
          </w:p>
          <w:p w14:paraId="0B9B8827" w14:textId="77777777" w:rsidR="000B75DA" w:rsidRDefault="000B75DA" w:rsidP="000B75DA">
            <w:pPr>
              <w:spacing w:line="216" w:lineRule="auto"/>
              <w:rPr>
                <w:rFonts w:cs="Arial"/>
                <w:color w:val="000000"/>
                <w:kern w:val="24"/>
                <w:szCs w:val="22"/>
              </w:rPr>
            </w:pPr>
          </w:p>
          <w:p w14:paraId="19DEB48E" w14:textId="6EAA484C" w:rsidR="000B75DA" w:rsidRDefault="000B75DA" w:rsidP="000B75DA">
            <w:pPr>
              <w:spacing w:line="216" w:lineRule="auto"/>
              <w:rPr>
                <w:rFonts w:cs="Arial"/>
                <w:color w:val="000000"/>
                <w:kern w:val="24"/>
                <w:szCs w:val="22"/>
              </w:rPr>
            </w:pPr>
            <w:r>
              <w:rPr>
                <w:rFonts w:cs="Arial"/>
                <w:color w:val="000000"/>
                <w:kern w:val="24"/>
                <w:szCs w:val="22"/>
              </w:rPr>
              <w:t xml:space="preserve">Secondly, </w:t>
            </w:r>
            <w:r w:rsidR="00BD0471">
              <w:rPr>
                <w:rFonts w:cs="Arial"/>
                <w:color w:val="000000"/>
                <w:kern w:val="24"/>
                <w:szCs w:val="22"/>
              </w:rPr>
              <w:t>mov</w:t>
            </w:r>
            <w:r w:rsidR="00551D22">
              <w:rPr>
                <w:rFonts w:cs="Arial"/>
                <w:color w:val="000000"/>
                <w:kern w:val="24"/>
                <w:szCs w:val="22"/>
              </w:rPr>
              <w:t>e</w:t>
            </w:r>
            <w:r w:rsidR="00BD0471">
              <w:rPr>
                <w:rFonts w:cs="Arial"/>
                <w:color w:val="000000"/>
                <w:kern w:val="24"/>
                <w:szCs w:val="22"/>
              </w:rPr>
              <w:t xml:space="preserve"> </w:t>
            </w:r>
            <w:r w:rsidR="00CE6BEC">
              <w:rPr>
                <w:rFonts w:cs="Arial"/>
                <w:color w:val="000000"/>
                <w:kern w:val="24"/>
                <w:szCs w:val="22"/>
              </w:rPr>
              <w:t>Pol</w:t>
            </w:r>
            <w:r w:rsidR="00102B93">
              <w:rPr>
                <w:rFonts w:cs="Arial"/>
                <w:color w:val="000000"/>
                <w:kern w:val="24"/>
                <w:szCs w:val="22"/>
              </w:rPr>
              <w:t xml:space="preserve">ling District SPW2 from Reigate </w:t>
            </w:r>
            <w:r w:rsidR="00054CC4">
              <w:rPr>
                <w:rFonts w:cs="Arial"/>
                <w:color w:val="000000"/>
                <w:kern w:val="24"/>
                <w:szCs w:val="22"/>
              </w:rPr>
              <w:t>d</w:t>
            </w:r>
            <w:r w:rsidR="00102B93">
              <w:rPr>
                <w:rFonts w:cs="Arial"/>
                <w:color w:val="000000"/>
                <w:kern w:val="24"/>
                <w:szCs w:val="22"/>
              </w:rPr>
              <w:t>ivision into Me</w:t>
            </w:r>
            <w:r w:rsidR="00DF3BB3">
              <w:rPr>
                <w:rFonts w:cs="Arial"/>
                <w:color w:val="000000"/>
                <w:kern w:val="24"/>
                <w:szCs w:val="22"/>
              </w:rPr>
              <w:t>rstham</w:t>
            </w:r>
            <w:r w:rsidR="00102B93">
              <w:rPr>
                <w:rFonts w:cs="Arial"/>
                <w:color w:val="000000"/>
                <w:kern w:val="24"/>
                <w:szCs w:val="22"/>
              </w:rPr>
              <w:t xml:space="preserve"> and Banstead</w:t>
            </w:r>
            <w:r w:rsidR="00054CC4">
              <w:rPr>
                <w:rFonts w:cs="Arial"/>
                <w:color w:val="000000"/>
                <w:kern w:val="24"/>
                <w:szCs w:val="22"/>
              </w:rPr>
              <w:t xml:space="preserve"> divisio</w:t>
            </w:r>
            <w:r w:rsidR="00102B93">
              <w:rPr>
                <w:rFonts w:cs="Arial"/>
                <w:color w:val="000000"/>
                <w:kern w:val="24"/>
                <w:szCs w:val="22"/>
              </w:rPr>
              <w:t>. Again</w:t>
            </w:r>
            <w:r w:rsidR="00DF3BB3">
              <w:rPr>
                <w:rFonts w:cs="Arial"/>
                <w:color w:val="000000"/>
                <w:kern w:val="24"/>
                <w:szCs w:val="22"/>
              </w:rPr>
              <w:t>,</w:t>
            </w:r>
            <w:r w:rsidR="00102B93">
              <w:rPr>
                <w:rFonts w:cs="Arial"/>
                <w:color w:val="000000"/>
                <w:kern w:val="24"/>
                <w:szCs w:val="22"/>
              </w:rPr>
              <w:t xml:space="preserve"> this would better align communities and ensure co-terminosity with the </w:t>
            </w:r>
            <w:r w:rsidR="00D06CC8">
              <w:rPr>
                <w:rFonts w:cs="Arial"/>
                <w:color w:val="000000"/>
                <w:kern w:val="24"/>
                <w:szCs w:val="22"/>
              </w:rPr>
              <w:t>borough wards.</w:t>
            </w:r>
          </w:p>
          <w:p w14:paraId="7FE4E5C6" w14:textId="77777777" w:rsidR="009632F9" w:rsidRDefault="009632F9" w:rsidP="000B75DA">
            <w:pPr>
              <w:spacing w:line="216" w:lineRule="auto"/>
              <w:rPr>
                <w:rFonts w:cs="Arial"/>
                <w:color w:val="000000"/>
                <w:kern w:val="24"/>
                <w:szCs w:val="22"/>
              </w:rPr>
            </w:pPr>
          </w:p>
          <w:p w14:paraId="698C4183" w14:textId="1CC76E3E" w:rsidR="009632F9" w:rsidRPr="00EB518D" w:rsidRDefault="009632F9" w:rsidP="000B75DA">
            <w:pPr>
              <w:spacing w:line="216" w:lineRule="auto"/>
              <w:rPr>
                <w:rFonts w:cs="Arial"/>
                <w:color w:val="000000"/>
                <w:kern w:val="24"/>
                <w:szCs w:val="22"/>
              </w:rPr>
            </w:pPr>
            <w:r>
              <w:rPr>
                <w:rFonts w:cs="Arial"/>
                <w:color w:val="000000"/>
                <w:kern w:val="24"/>
                <w:szCs w:val="22"/>
              </w:rPr>
              <w:t>The combination of these changes would move Reigate</w:t>
            </w:r>
            <w:r w:rsidR="00D06CC8">
              <w:rPr>
                <w:rFonts w:cs="Arial"/>
                <w:color w:val="000000"/>
                <w:kern w:val="24"/>
                <w:szCs w:val="22"/>
              </w:rPr>
              <w:t xml:space="preserve"> division</w:t>
            </w:r>
            <w:r>
              <w:rPr>
                <w:rFonts w:cs="Arial"/>
                <w:color w:val="000000"/>
                <w:kern w:val="24"/>
                <w:szCs w:val="22"/>
              </w:rPr>
              <w:t xml:space="preserve"> from -4% to -5% electoral variance.</w:t>
            </w:r>
          </w:p>
          <w:p w14:paraId="69A8D47E" w14:textId="77777777" w:rsidR="001902D7" w:rsidRDefault="001902D7" w:rsidP="00AC76CB"/>
        </w:tc>
      </w:tr>
      <w:tr w:rsidR="001902D7" w14:paraId="4E63E342" w14:textId="77777777">
        <w:tc>
          <w:tcPr>
            <w:tcW w:w="3045" w:type="dxa"/>
          </w:tcPr>
          <w:p w14:paraId="74780976" w14:textId="77777777" w:rsidR="001902D7" w:rsidRPr="001902D7" w:rsidRDefault="001902D7" w:rsidP="001902D7">
            <w:pPr>
              <w:spacing w:before="240"/>
              <w:jc w:val="center"/>
              <w:rPr>
                <w:b/>
                <w:bCs/>
              </w:rPr>
            </w:pPr>
            <w:r w:rsidRPr="001902D7">
              <w:rPr>
                <w:b/>
                <w:bCs/>
              </w:rPr>
              <w:t>Tadworth, Walton &amp; Kingswood</w:t>
            </w:r>
          </w:p>
        </w:tc>
        <w:tc>
          <w:tcPr>
            <w:tcW w:w="1321" w:type="dxa"/>
            <w:vAlign w:val="center"/>
          </w:tcPr>
          <w:p w14:paraId="3C0FE04A" w14:textId="4B2FDBA9" w:rsidR="001902D7" w:rsidRDefault="001902D7" w:rsidP="001902D7">
            <w:pPr>
              <w:spacing w:before="240"/>
              <w:jc w:val="center"/>
            </w:pPr>
            <w:r>
              <w:rPr>
                <w:rFonts w:cs="Arial"/>
              </w:rPr>
              <w:t>12,</w:t>
            </w:r>
            <w:r w:rsidR="003E1B77">
              <w:rPr>
                <w:rFonts w:cs="Arial"/>
              </w:rPr>
              <w:t>606</w:t>
            </w:r>
          </w:p>
        </w:tc>
        <w:tc>
          <w:tcPr>
            <w:tcW w:w="1280" w:type="dxa"/>
            <w:vAlign w:val="center"/>
          </w:tcPr>
          <w:p w14:paraId="481C4A6D" w14:textId="665DCBD7" w:rsidR="001902D7" w:rsidRDefault="00751C29" w:rsidP="001902D7">
            <w:pPr>
              <w:spacing w:before="240"/>
              <w:jc w:val="center"/>
            </w:pPr>
            <w:r>
              <w:rPr>
                <w:rFonts w:cs="Arial"/>
              </w:rPr>
              <w:t>6</w:t>
            </w:r>
            <w:r w:rsidR="001902D7">
              <w:rPr>
                <w:rFonts w:cs="Arial"/>
              </w:rPr>
              <w:t>%</w:t>
            </w:r>
          </w:p>
        </w:tc>
        <w:tc>
          <w:tcPr>
            <w:tcW w:w="9375" w:type="dxa"/>
          </w:tcPr>
          <w:p w14:paraId="0394C451" w14:textId="77777777" w:rsidR="001902D7" w:rsidRDefault="001902D7" w:rsidP="001902D7">
            <w:pPr>
              <w:ind w:left="60"/>
              <w:jc w:val="center"/>
            </w:pPr>
          </w:p>
          <w:p w14:paraId="7D3C062E" w14:textId="14620F85" w:rsidR="001902D7" w:rsidRDefault="001902D7" w:rsidP="00DF3BB3">
            <w:r>
              <w:t>The Division of Tadworth, Walton &amp; Kingswood includes the three villages as named along with the estate of Preston in the north</w:t>
            </w:r>
            <w:r w:rsidR="00AB1148">
              <w:t>-</w:t>
            </w:r>
            <w:r>
              <w:t xml:space="preserve">east corner.  </w:t>
            </w:r>
          </w:p>
          <w:p w14:paraId="02C6081D" w14:textId="77777777" w:rsidR="001902D7" w:rsidRDefault="001902D7" w:rsidP="001902D7">
            <w:pPr>
              <w:ind w:left="60"/>
            </w:pPr>
          </w:p>
          <w:p w14:paraId="0231F55D" w14:textId="011872AB" w:rsidR="001902D7" w:rsidRDefault="001902D7" w:rsidP="001902D7">
            <w:pPr>
              <w:ind w:left="-19"/>
            </w:pPr>
            <w:r>
              <w:t xml:space="preserve">The southern and western boundaries of the Division follow the border with Mole Valley and therefore cannot be moved.  </w:t>
            </w:r>
            <w:r w:rsidR="006A1B50">
              <w:t xml:space="preserve">There are two suggested changes to the </w:t>
            </w:r>
            <w:r w:rsidR="00C21A6D">
              <w:t>n</w:t>
            </w:r>
            <w:r w:rsidR="006A1B50">
              <w:t xml:space="preserve">orthern and </w:t>
            </w:r>
            <w:r w:rsidR="00C21A6D">
              <w:t>s</w:t>
            </w:r>
            <w:r w:rsidR="006A1B50">
              <w:t>outhern boundaries, already mentioned above, but included again below for clarity.</w:t>
            </w:r>
          </w:p>
          <w:p w14:paraId="572BF024" w14:textId="77777777" w:rsidR="006A1B50" w:rsidRDefault="006A1B50" w:rsidP="001902D7">
            <w:pPr>
              <w:ind w:left="-19"/>
            </w:pPr>
          </w:p>
          <w:p w14:paraId="5C5C36D9" w14:textId="43CEF51B" w:rsidR="0088279D" w:rsidRPr="00E7154F" w:rsidRDefault="006A1B50" w:rsidP="0088279D">
            <w:pPr>
              <w:ind w:left="-19"/>
            </w:pPr>
            <w:r>
              <w:t xml:space="preserve">A slight amendment is suggested to the northern border of the </w:t>
            </w:r>
            <w:r w:rsidR="00417538">
              <w:t>d</w:t>
            </w:r>
            <w:r>
              <w:t xml:space="preserve">ivision, so </w:t>
            </w:r>
            <w:r w:rsidR="0088279D">
              <w:t>that</w:t>
            </w:r>
          </w:p>
          <w:p w14:paraId="1777D0E1" w14:textId="28E8DB99" w:rsidR="0088279D" w:rsidRPr="00E7154F" w:rsidRDefault="0088279D" w:rsidP="0088279D">
            <w:pPr>
              <w:ind w:hanging="19"/>
              <w:textAlignment w:val="auto"/>
            </w:pPr>
            <w:r w:rsidRPr="00E7154F">
              <w:t>part of Tattenham</w:t>
            </w:r>
            <w:r w:rsidRPr="00E7154F">
              <w:rPr>
                <w:strike/>
              </w:rPr>
              <w:t>s</w:t>
            </w:r>
            <w:r w:rsidRPr="00E7154F">
              <w:t xml:space="preserve"> Corner &amp; Preston Ward (304 electors) is proposed as part of the Tadworth, Walton and Kingswood Division. These are:</w:t>
            </w:r>
          </w:p>
          <w:p w14:paraId="6A950B79" w14:textId="77777777" w:rsidR="0088279D" w:rsidRPr="00E7154F" w:rsidRDefault="0088279D" w:rsidP="0088279D">
            <w:pPr>
              <w:numPr>
                <w:ilvl w:val="0"/>
                <w:numId w:val="41"/>
              </w:numPr>
              <w:contextualSpacing/>
              <w:textAlignment w:val="auto"/>
            </w:pPr>
            <w:r w:rsidRPr="00E7154F">
              <w:t>The whole of Chetwode Road (262 electors) and the following small changes involving 42 electors:</w:t>
            </w:r>
          </w:p>
          <w:p w14:paraId="72E60296" w14:textId="77777777" w:rsidR="0088279D" w:rsidRPr="00E7154F" w:rsidRDefault="0088279D" w:rsidP="0088279D">
            <w:pPr>
              <w:numPr>
                <w:ilvl w:val="0"/>
                <w:numId w:val="41"/>
              </w:numPr>
              <w:contextualSpacing/>
              <w:textAlignment w:val="auto"/>
            </w:pPr>
            <w:r w:rsidRPr="00E7154F">
              <w:t>The adjacent flats (Nos. 87–99 odds) in Merland Rise, and</w:t>
            </w:r>
          </w:p>
          <w:p w14:paraId="7CFE2854" w14:textId="77777777" w:rsidR="0088279D" w:rsidRPr="00E7154F" w:rsidRDefault="0088279D" w:rsidP="0088279D">
            <w:pPr>
              <w:numPr>
                <w:ilvl w:val="0"/>
                <w:numId w:val="41"/>
              </w:numPr>
              <w:contextualSpacing/>
              <w:textAlignment w:val="auto"/>
            </w:pPr>
            <w:r w:rsidRPr="00E7154F">
              <w:t>Part of Whitegate Way (Nos. 33-63 odds and No. 30 evens).</w:t>
            </w:r>
          </w:p>
          <w:p w14:paraId="04D62159" w14:textId="508FC622" w:rsidR="006A1B50" w:rsidRDefault="006A1B50" w:rsidP="0088279D">
            <w:pPr>
              <w:ind w:left="-19"/>
            </w:pPr>
          </w:p>
          <w:p w14:paraId="49B784AF" w14:textId="212F60AA" w:rsidR="00F46FCF" w:rsidRPr="000B75DA" w:rsidRDefault="00F46FCF" w:rsidP="00F46FCF">
            <w:pPr>
              <w:spacing w:line="216" w:lineRule="auto"/>
              <w:rPr>
                <w:rFonts w:cs="Arial"/>
                <w:color w:val="000000"/>
                <w:kern w:val="24"/>
                <w:szCs w:val="22"/>
              </w:rPr>
            </w:pPr>
            <w:r>
              <w:rPr>
                <w:rFonts w:cs="Arial"/>
                <w:color w:val="000000"/>
                <w:kern w:val="24"/>
                <w:szCs w:val="22"/>
              </w:rPr>
              <w:t xml:space="preserve">It is also suggested that </w:t>
            </w:r>
            <w:r w:rsidR="00C21A6D">
              <w:rPr>
                <w:rFonts w:cs="Arial"/>
                <w:color w:val="000000"/>
                <w:kern w:val="24"/>
                <w:szCs w:val="22"/>
              </w:rPr>
              <w:t>p</w:t>
            </w:r>
            <w:r w:rsidRPr="000B75DA">
              <w:rPr>
                <w:rFonts w:cs="Arial"/>
                <w:color w:val="000000"/>
                <w:kern w:val="24"/>
                <w:szCs w:val="22"/>
              </w:rPr>
              <w:t xml:space="preserve">olling </w:t>
            </w:r>
            <w:r w:rsidR="00C21A6D">
              <w:rPr>
                <w:rFonts w:cs="Arial"/>
                <w:color w:val="000000"/>
                <w:kern w:val="24"/>
                <w:szCs w:val="22"/>
              </w:rPr>
              <w:t>d</w:t>
            </w:r>
            <w:r w:rsidRPr="000B75DA">
              <w:rPr>
                <w:rFonts w:cs="Arial"/>
                <w:color w:val="000000"/>
                <w:kern w:val="24"/>
                <w:szCs w:val="22"/>
              </w:rPr>
              <w:t xml:space="preserve">istrict KTW3 </w:t>
            </w:r>
            <w:r>
              <w:rPr>
                <w:rFonts w:cs="Arial"/>
                <w:color w:val="000000"/>
                <w:kern w:val="24"/>
                <w:szCs w:val="22"/>
              </w:rPr>
              <w:t xml:space="preserve">moves </w:t>
            </w:r>
            <w:r w:rsidRPr="000B75DA">
              <w:rPr>
                <w:rFonts w:cs="Arial"/>
                <w:color w:val="000000"/>
                <w:kern w:val="24"/>
                <w:szCs w:val="22"/>
              </w:rPr>
              <w:t xml:space="preserve">from Tadworth, Walton and Kingswood </w:t>
            </w:r>
            <w:r w:rsidR="00E6670D">
              <w:rPr>
                <w:rFonts w:cs="Arial"/>
                <w:color w:val="000000"/>
                <w:kern w:val="24"/>
                <w:szCs w:val="22"/>
              </w:rPr>
              <w:t>d</w:t>
            </w:r>
            <w:r w:rsidRPr="000B75DA">
              <w:rPr>
                <w:rFonts w:cs="Arial"/>
                <w:color w:val="000000"/>
                <w:kern w:val="24"/>
                <w:szCs w:val="22"/>
              </w:rPr>
              <w:t xml:space="preserve">ivision into Merstham and Banstead South </w:t>
            </w:r>
            <w:r w:rsidR="00E6670D">
              <w:rPr>
                <w:rFonts w:cs="Arial"/>
                <w:color w:val="000000"/>
                <w:kern w:val="24"/>
                <w:szCs w:val="22"/>
              </w:rPr>
              <w:t>d</w:t>
            </w:r>
            <w:r w:rsidRPr="000B75DA">
              <w:rPr>
                <w:rFonts w:cs="Arial"/>
                <w:color w:val="000000"/>
                <w:kern w:val="24"/>
                <w:szCs w:val="22"/>
              </w:rPr>
              <w:t xml:space="preserve">ivision. This border better </w:t>
            </w:r>
            <w:r>
              <w:rPr>
                <w:rFonts w:cs="Arial"/>
                <w:color w:val="000000"/>
                <w:kern w:val="24"/>
                <w:szCs w:val="22"/>
              </w:rPr>
              <w:t>meets</w:t>
            </w:r>
            <w:r w:rsidRPr="000B75DA">
              <w:rPr>
                <w:rFonts w:cs="Arial"/>
                <w:color w:val="000000"/>
                <w:kern w:val="24"/>
                <w:szCs w:val="22"/>
              </w:rPr>
              <w:t xml:space="preserve"> community identity and also helps to address some of the imbalance in numbers between Tadworth, Walton and Kingswood (presently with a +4% variance) and Merstham and Banstead South (currently with a -6% variance).</w:t>
            </w:r>
          </w:p>
          <w:p w14:paraId="519EA66F" w14:textId="77777777" w:rsidR="001902D7" w:rsidRDefault="001902D7" w:rsidP="0064199A"/>
        </w:tc>
      </w:tr>
    </w:tbl>
    <w:p w14:paraId="69124599" w14:textId="77777777" w:rsidR="008256AD" w:rsidRDefault="008256AD"/>
    <w:p w14:paraId="7D04EAA0" w14:textId="77777777" w:rsidR="008256AD" w:rsidRDefault="008256AD"/>
    <w:p w14:paraId="40A9F97B" w14:textId="77777777" w:rsidR="008256AD" w:rsidRDefault="008256AD">
      <w:pPr>
        <w:pStyle w:val="Heading1"/>
        <w:numPr>
          <w:ilvl w:val="0"/>
          <w:numId w:val="0"/>
        </w:numPr>
      </w:pPr>
      <w:r>
        <w:t>Runnymede</w:t>
      </w:r>
    </w:p>
    <w:p w14:paraId="53D4B92D" w14:textId="77777777" w:rsidR="008256AD" w:rsidRDefault="008256AD"/>
    <w:p w14:paraId="40CF4B6D" w14:textId="006525E8" w:rsidR="008256AD" w:rsidRDefault="00B85EBB">
      <w:r w:rsidRPr="00B85EBB">
        <w:t>For Runnymede, the proposal is for six divisions representing an electorate of 66,756. This would equate to an average electorate size for each division of 11,126.</w:t>
      </w:r>
    </w:p>
    <w:p w14:paraId="6B8D7374" w14:textId="77777777" w:rsidR="008256AD" w:rsidRDefault="008256AD"/>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375"/>
      </w:tblGrid>
      <w:tr w:rsidR="003F67AB" w14:paraId="739CF2E6" w14:textId="77777777" w:rsidTr="003F67AB">
        <w:tc>
          <w:tcPr>
            <w:tcW w:w="3045" w:type="dxa"/>
          </w:tcPr>
          <w:p w14:paraId="2C9327B2" w14:textId="77777777" w:rsidR="003F67AB" w:rsidRDefault="003F67AB">
            <w:pPr>
              <w:pStyle w:val="Heading4"/>
              <w:numPr>
                <w:ilvl w:val="0"/>
                <w:numId w:val="0"/>
              </w:numPr>
              <w:spacing w:before="120"/>
              <w:jc w:val="center"/>
              <w:rPr>
                <w:b/>
                <w:bCs/>
                <w:i w:val="0"/>
                <w:iCs w:val="0"/>
              </w:rPr>
            </w:pPr>
            <w:r>
              <w:rPr>
                <w:b/>
                <w:bCs/>
                <w:i w:val="0"/>
                <w:iCs w:val="0"/>
              </w:rPr>
              <w:t>Division Name</w:t>
            </w:r>
          </w:p>
        </w:tc>
        <w:tc>
          <w:tcPr>
            <w:tcW w:w="1321" w:type="dxa"/>
          </w:tcPr>
          <w:p w14:paraId="2466A990" w14:textId="77777777" w:rsidR="003F67AB" w:rsidRDefault="003F67AB">
            <w:pPr>
              <w:spacing w:before="120"/>
              <w:jc w:val="center"/>
              <w:rPr>
                <w:b/>
                <w:bCs/>
              </w:rPr>
            </w:pPr>
            <w:r>
              <w:rPr>
                <w:b/>
                <w:bCs/>
              </w:rPr>
              <w:t>2029 Forecast Electorate</w:t>
            </w:r>
          </w:p>
        </w:tc>
        <w:tc>
          <w:tcPr>
            <w:tcW w:w="1280" w:type="dxa"/>
          </w:tcPr>
          <w:p w14:paraId="1183C13F" w14:textId="77777777" w:rsidR="003F67AB" w:rsidRDefault="003F67AB">
            <w:pPr>
              <w:spacing w:before="120"/>
              <w:jc w:val="center"/>
              <w:rPr>
                <w:b/>
                <w:bCs/>
              </w:rPr>
            </w:pPr>
            <w:r>
              <w:rPr>
                <w:b/>
                <w:bCs/>
              </w:rPr>
              <w:t>2029 Forecast Electorate Variance</w:t>
            </w:r>
          </w:p>
        </w:tc>
        <w:tc>
          <w:tcPr>
            <w:tcW w:w="9375" w:type="dxa"/>
          </w:tcPr>
          <w:p w14:paraId="429545A0" w14:textId="77777777" w:rsidR="003F67AB" w:rsidRDefault="003F67AB">
            <w:pPr>
              <w:spacing w:before="120"/>
              <w:jc w:val="center"/>
              <w:rPr>
                <w:b/>
                <w:bCs/>
              </w:rPr>
            </w:pPr>
            <w:r>
              <w:rPr>
                <w:b/>
                <w:bCs/>
              </w:rPr>
              <w:t>Evidence and Rationale that the proposals meet the statutory criteria</w:t>
            </w:r>
          </w:p>
        </w:tc>
      </w:tr>
      <w:tr w:rsidR="00EB4458" w14:paraId="3B452229" w14:textId="77777777">
        <w:tc>
          <w:tcPr>
            <w:tcW w:w="3045" w:type="dxa"/>
          </w:tcPr>
          <w:p w14:paraId="671F5158" w14:textId="77777777" w:rsidR="00EB4458" w:rsidRPr="006E33D9" w:rsidRDefault="00EB4458" w:rsidP="00EB4458">
            <w:pPr>
              <w:spacing w:before="240"/>
              <w:jc w:val="center"/>
              <w:rPr>
                <w:b/>
                <w:bCs/>
              </w:rPr>
            </w:pPr>
            <w:r w:rsidRPr="006E33D9">
              <w:rPr>
                <w:b/>
                <w:bCs/>
              </w:rPr>
              <w:t>Addlestone</w:t>
            </w:r>
          </w:p>
        </w:tc>
        <w:tc>
          <w:tcPr>
            <w:tcW w:w="1321" w:type="dxa"/>
            <w:vAlign w:val="center"/>
          </w:tcPr>
          <w:p w14:paraId="37809D79" w14:textId="7D167AB0" w:rsidR="00EB4458" w:rsidRDefault="00E8671F" w:rsidP="00EB4458">
            <w:pPr>
              <w:spacing w:before="240"/>
              <w:jc w:val="center"/>
            </w:pPr>
            <w:r>
              <w:t>12,0</w:t>
            </w:r>
            <w:r w:rsidR="002E6D47">
              <w:t>28</w:t>
            </w:r>
          </w:p>
        </w:tc>
        <w:tc>
          <w:tcPr>
            <w:tcW w:w="1280" w:type="dxa"/>
            <w:vAlign w:val="center"/>
          </w:tcPr>
          <w:p w14:paraId="5C25F223" w14:textId="43E37A0E" w:rsidR="00EB4458" w:rsidRDefault="00E8671F" w:rsidP="00EB4458">
            <w:pPr>
              <w:spacing w:before="240"/>
              <w:jc w:val="center"/>
            </w:pPr>
            <w:r>
              <w:t>1%</w:t>
            </w:r>
          </w:p>
        </w:tc>
        <w:tc>
          <w:tcPr>
            <w:tcW w:w="9375" w:type="dxa"/>
          </w:tcPr>
          <w:p w14:paraId="1C5383AE" w14:textId="77777777" w:rsidR="00EB4458" w:rsidRDefault="00EB4458" w:rsidP="002D0E07"/>
          <w:p w14:paraId="0AB04BD6" w14:textId="12D68DE8" w:rsidR="002D0E07" w:rsidRDefault="002D0E07" w:rsidP="002D0E07">
            <w:r>
              <w:t xml:space="preserve">The </w:t>
            </w:r>
            <w:r w:rsidR="002953A0">
              <w:t>d</w:t>
            </w:r>
            <w:r>
              <w:t>ivision of Addlestone has been re-drawn to improve e</w:t>
            </w:r>
            <w:r w:rsidR="000E4DCC">
              <w:t xml:space="preserve">lectoral equality and co-terminosity with the </w:t>
            </w:r>
            <w:r w:rsidR="00901693">
              <w:t>borough wards</w:t>
            </w:r>
            <w:r w:rsidR="004417BC">
              <w:t xml:space="preserve">. </w:t>
            </w:r>
            <w:r w:rsidR="00EE2D84">
              <w:t xml:space="preserve">Polling </w:t>
            </w:r>
            <w:r w:rsidR="002953A0">
              <w:t>d</w:t>
            </w:r>
            <w:r w:rsidR="00EE2D84">
              <w:t xml:space="preserve">istrict CR1 has been moved into Chertsey </w:t>
            </w:r>
            <w:r w:rsidR="00210DBF">
              <w:t xml:space="preserve">Division </w:t>
            </w:r>
            <w:r w:rsidR="00EE2D84">
              <w:t xml:space="preserve">and the </w:t>
            </w:r>
            <w:r w:rsidR="002F61CD">
              <w:t xml:space="preserve">part </w:t>
            </w:r>
            <w:r w:rsidR="00B70067">
              <w:t>of AS4 that was previously in Addlestone</w:t>
            </w:r>
            <w:r w:rsidR="00210DBF">
              <w:t xml:space="preserve"> Division</w:t>
            </w:r>
            <w:r w:rsidR="00B70067">
              <w:t xml:space="preserve"> </w:t>
            </w:r>
            <w:r w:rsidR="00901693">
              <w:t xml:space="preserve">has </w:t>
            </w:r>
            <w:r w:rsidR="00B70067">
              <w:t>moved into Woodham and New Haw</w:t>
            </w:r>
            <w:r w:rsidR="00210DBF">
              <w:t xml:space="preserve"> Division. </w:t>
            </w:r>
          </w:p>
          <w:p w14:paraId="545AD25D" w14:textId="32EEB55C" w:rsidR="00EB4458" w:rsidRDefault="00EB4458" w:rsidP="002D0E07"/>
        </w:tc>
      </w:tr>
      <w:tr w:rsidR="001F7223" w14:paraId="261140D4" w14:textId="77777777">
        <w:tc>
          <w:tcPr>
            <w:tcW w:w="3045" w:type="dxa"/>
          </w:tcPr>
          <w:p w14:paraId="663C59B5" w14:textId="77777777" w:rsidR="001F7223" w:rsidRPr="006E33D9" w:rsidRDefault="001F7223" w:rsidP="001F7223">
            <w:pPr>
              <w:spacing w:before="240"/>
              <w:jc w:val="center"/>
              <w:rPr>
                <w:b/>
                <w:bCs/>
              </w:rPr>
            </w:pPr>
            <w:r w:rsidRPr="006E33D9">
              <w:rPr>
                <w:b/>
                <w:bCs/>
              </w:rPr>
              <w:t>Chertsey</w:t>
            </w:r>
          </w:p>
        </w:tc>
        <w:tc>
          <w:tcPr>
            <w:tcW w:w="1321" w:type="dxa"/>
            <w:vAlign w:val="center"/>
          </w:tcPr>
          <w:p w14:paraId="344A544A" w14:textId="4BA3B7AC" w:rsidR="001F7223" w:rsidRDefault="00385604" w:rsidP="001F7223">
            <w:pPr>
              <w:spacing w:before="240"/>
              <w:jc w:val="center"/>
            </w:pPr>
            <w:r>
              <w:t>1</w:t>
            </w:r>
            <w:r w:rsidR="002E6D47">
              <w:t>0,851</w:t>
            </w:r>
          </w:p>
        </w:tc>
        <w:tc>
          <w:tcPr>
            <w:tcW w:w="1280" w:type="dxa"/>
            <w:vAlign w:val="center"/>
          </w:tcPr>
          <w:p w14:paraId="22906510" w14:textId="245C1F27" w:rsidR="001F7223" w:rsidRDefault="002E6D47" w:rsidP="001F7223">
            <w:pPr>
              <w:spacing w:before="240"/>
              <w:jc w:val="center"/>
            </w:pPr>
            <w:r>
              <w:t>-9%</w:t>
            </w:r>
          </w:p>
        </w:tc>
        <w:tc>
          <w:tcPr>
            <w:tcW w:w="9375" w:type="dxa"/>
          </w:tcPr>
          <w:p w14:paraId="66B447BE" w14:textId="77777777" w:rsidR="001F7223" w:rsidRDefault="001F7223" w:rsidP="0064199A">
            <w:pPr>
              <w:ind w:left="60"/>
            </w:pPr>
          </w:p>
          <w:p w14:paraId="30B45BB3" w14:textId="234F5BC7" w:rsidR="00B70067" w:rsidRDefault="00B70067" w:rsidP="0064199A">
            <w:pPr>
              <w:ind w:left="60"/>
            </w:pPr>
            <w:r>
              <w:t xml:space="preserve">The </w:t>
            </w:r>
            <w:r w:rsidR="00901693">
              <w:t>d</w:t>
            </w:r>
            <w:r>
              <w:t xml:space="preserve">ivision of Chertsey has been re-drawn to improve electoral equality and co-terminosity with the </w:t>
            </w:r>
            <w:r w:rsidR="00901693">
              <w:t>borough wards</w:t>
            </w:r>
            <w:r w:rsidR="00F23F82">
              <w:t xml:space="preserve">. Polling </w:t>
            </w:r>
            <w:r w:rsidR="00065C06">
              <w:t>d</w:t>
            </w:r>
            <w:r w:rsidR="00F23F82">
              <w:t>istrict CR1 has moved into Chertsey</w:t>
            </w:r>
            <w:r w:rsidR="00210DBF">
              <w:t xml:space="preserve"> </w:t>
            </w:r>
            <w:r w:rsidR="00065C06">
              <w:t>d</w:t>
            </w:r>
            <w:r w:rsidR="00210DBF">
              <w:t>ivision</w:t>
            </w:r>
            <w:r w:rsidR="00F23F82">
              <w:t xml:space="preserve"> from Addlestone</w:t>
            </w:r>
            <w:r w:rsidR="00210DBF">
              <w:t xml:space="preserve"> </w:t>
            </w:r>
            <w:r w:rsidR="00065C06">
              <w:t>d</w:t>
            </w:r>
            <w:r w:rsidR="00210DBF">
              <w:t>ivision</w:t>
            </w:r>
            <w:r w:rsidR="00F23F82">
              <w:t>. Polling District LL</w:t>
            </w:r>
            <w:r w:rsidR="00210DBF">
              <w:t xml:space="preserve">C2 has moved into Thorpe, Longcross and Ottershaw </w:t>
            </w:r>
            <w:r w:rsidR="00065C06">
              <w:t>d</w:t>
            </w:r>
            <w:r w:rsidR="00210DBF">
              <w:t xml:space="preserve">ivision. </w:t>
            </w:r>
          </w:p>
          <w:p w14:paraId="598A349D" w14:textId="3C94BA1A" w:rsidR="001F7223" w:rsidRDefault="001F7223" w:rsidP="0064199A">
            <w:pPr>
              <w:ind w:left="60"/>
            </w:pPr>
          </w:p>
        </w:tc>
      </w:tr>
      <w:tr w:rsidR="00E965C4" w14:paraId="2E52B67E" w14:textId="77777777">
        <w:tc>
          <w:tcPr>
            <w:tcW w:w="3045" w:type="dxa"/>
          </w:tcPr>
          <w:p w14:paraId="7EF0DE07" w14:textId="00860346" w:rsidR="00E965C4" w:rsidRPr="006E33D9" w:rsidRDefault="00E965C4" w:rsidP="00E965C4">
            <w:pPr>
              <w:spacing w:before="240"/>
              <w:jc w:val="center"/>
              <w:rPr>
                <w:b/>
                <w:bCs/>
              </w:rPr>
            </w:pPr>
            <w:r w:rsidRPr="006E33D9">
              <w:rPr>
                <w:b/>
                <w:bCs/>
              </w:rPr>
              <w:t xml:space="preserve">Egham </w:t>
            </w:r>
          </w:p>
        </w:tc>
        <w:tc>
          <w:tcPr>
            <w:tcW w:w="1321" w:type="dxa"/>
            <w:vAlign w:val="center"/>
          </w:tcPr>
          <w:p w14:paraId="7982AAA6" w14:textId="01274549" w:rsidR="00E965C4" w:rsidRDefault="00385604" w:rsidP="00E965C4">
            <w:pPr>
              <w:spacing w:before="240"/>
              <w:jc w:val="center"/>
            </w:pPr>
            <w:r>
              <w:t>10,676</w:t>
            </w:r>
          </w:p>
        </w:tc>
        <w:tc>
          <w:tcPr>
            <w:tcW w:w="1280" w:type="dxa"/>
            <w:vAlign w:val="center"/>
          </w:tcPr>
          <w:p w14:paraId="24D9A91A" w14:textId="2E9814A5" w:rsidR="00E965C4" w:rsidRDefault="00385604" w:rsidP="00E965C4">
            <w:pPr>
              <w:spacing w:before="240"/>
              <w:jc w:val="center"/>
            </w:pPr>
            <w:r>
              <w:t>-10%</w:t>
            </w:r>
          </w:p>
        </w:tc>
        <w:tc>
          <w:tcPr>
            <w:tcW w:w="9375" w:type="dxa"/>
          </w:tcPr>
          <w:p w14:paraId="261DC2FF" w14:textId="77777777" w:rsidR="00E965C4" w:rsidRDefault="00E965C4" w:rsidP="00E965C4">
            <w:pPr>
              <w:ind w:left="60"/>
            </w:pPr>
          </w:p>
          <w:p w14:paraId="0271FFF8" w14:textId="3DB07BB9" w:rsidR="00210DBF" w:rsidRDefault="00210DBF" w:rsidP="0064199A">
            <w:pPr>
              <w:ind w:left="60"/>
            </w:pPr>
            <w:r>
              <w:t xml:space="preserve">The </w:t>
            </w:r>
            <w:r w:rsidR="00065C06">
              <w:t>d</w:t>
            </w:r>
            <w:r>
              <w:t xml:space="preserve">ivision of Egham </w:t>
            </w:r>
            <w:r w:rsidR="001F0A43">
              <w:t>is projected to be significantly under variance in 2029</w:t>
            </w:r>
            <w:r>
              <w:t xml:space="preserve"> at -28%. The </w:t>
            </w:r>
            <w:r w:rsidR="001F0A43">
              <w:t>d</w:t>
            </w:r>
            <w:r>
              <w:t>ivision has been re-drawn to address this electoral inequality an</w:t>
            </w:r>
            <w:r w:rsidR="00213F5F">
              <w:t xml:space="preserve">d bring all of Egham into one </w:t>
            </w:r>
            <w:r w:rsidR="00060519">
              <w:t>d</w:t>
            </w:r>
            <w:r w:rsidR="00213F5F">
              <w:t>ivision.</w:t>
            </w:r>
            <w:r w:rsidR="00591AF7">
              <w:t xml:space="preserve"> Polling </w:t>
            </w:r>
            <w:r w:rsidR="00060519">
              <w:t>d</w:t>
            </w:r>
            <w:r w:rsidR="00591AF7">
              <w:t xml:space="preserve">istricts ET1 and ET2 have moved into the </w:t>
            </w:r>
            <w:r w:rsidR="00060519">
              <w:t>d</w:t>
            </w:r>
            <w:r w:rsidR="00591AF7">
              <w:t xml:space="preserve">ivision from Englefield Green </w:t>
            </w:r>
            <w:r w:rsidR="00060519">
              <w:t>d</w:t>
            </w:r>
            <w:r w:rsidR="00591AF7">
              <w:t xml:space="preserve">ivision. </w:t>
            </w:r>
            <w:r w:rsidR="006C4828">
              <w:t xml:space="preserve">Polling Districts TH3 and VW4 </w:t>
            </w:r>
            <w:r w:rsidR="009B4CE1">
              <w:t>have moved</w:t>
            </w:r>
            <w:r w:rsidR="00060519">
              <w:t xml:space="preserve"> out of Egham Division</w:t>
            </w:r>
            <w:r w:rsidR="009B4CE1">
              <w:t xml:space="preserve"> into</w:t>
            </w:r>
            <w:r w:rsidR="00567BEC">
              <w:t xml:space="preserve"> the proposed</w:t>
            </w:r>
            <w:r w:rsidR="009B4CE1">
              <w:t xml:space="preserve"> Thorpe, Longcross and Ottershaw Division. </w:t>
            </w:r>
          </w:p>
          <w:p w14:paraId="523AA181" w14:textId="2A75C0CB" w:rsidR="00E965C4" w:rsidRDefault="00E965C4" w:rsidP="0064199A">
            <w:pPr>
              <w:ind w:left="60"/>
            </w:pPr>
          </w:p>
        </w:tc>
      </w:tr>
      <w:tr w:rsidR="001F7223" w14:paraId="0149A48E" w14:textId="77777777">
        <w:tc>
          <w:tcPr>
            <w:tcW w:w="3045" w:type="dxa"/>
          </w:tcPr>
          <w:p w14:paraId="362FD771" w14:textId="77777777" w:rsidR="001F7223" w:rsidRPr="006E33D9" w:rsidRDefault="001F7223" w:rsidP="001F7223">
            <w:pPr>
              <w:spacing w:before="240"/>
              <w:jc w:val="center"/>
              <w:rPr>
                <w:b/>
                <w:bCs/>
              </w:rPr>
            </w:pPr>
            <w:r w:rsidRPr="006E33D9">
              <w:rPr>
                <w:b/>
                <w:bCs/>
              </w:rPr>
              <w:t>Englefield Green</w:t>
            </w:r>
          </w:p>
        </w:tc>
        <w:tc>
          <w:tcPr>
            <w:tcW w:w="1321" w:type="dxa"/>
            <w:vAlign w:val="center"/>
          </w:tcPr>
          <w:p w14:paraId="6468D175" w14:textId="5CC9721D" w:rsidR="001F7223" w:rsidRDefault="00C72388" w:rsidP="001F7223">
            <w:pPr>
              <w:spacing w:before="240"/>
              <w:jc w:val="center"/>
            </w:pPr>
            <w:r>
              <w:t>10,806</w:t>
            </w:r>
          </w:p>
        </w:tc>
        <w:tc>
          <w:tcPr>
            <w:tcW w:w="1280" w:type="dxa"/>
            <w:vAlign w:val="center"/>
          </w:tcPr>
          <w:p w14:paraId="24385351" w14:textId="2BCD5279" w:rsidR="001F7223" w:rsidRDefault="00C72388" w:rsidP="001F7223">
            <w:pPr>
              <w:spacing w:before="240"/>
              <w:jc w:val="center"/>
            </w:pPr>
            <w:r>
              <w:t>-9%</w:t>
            </w:r>
          </w:p>
        </w:tc>
        <w:tc>
          <w:tcPr>
            <w:tcW w:w="9375" w:type="dxa"/>
          </w:tcPr>
          <w:p w14:paraId="39C3A7DA" w14:textId="77777777" w:rsidR="001F7223" w:rsidRDefault="001F7223" w:rsidP="0064199A">
            <w:pPr>
              <w:ind w:left="60"/>
            </w:pPr>
          </w:p>
          <w:p w14:paraId="341ECAE9" w14:textId="6443F74E" w:rsidR="009B4CE1" w:rsidRDefault="009B4CE1" w:rsidP="0064199A">
            <w:pPr>
              <w:ind w:left="60"/>
            </w:pPr>
            <w:r>
              <w:t xml:space="preserve">Englefield Green </w:t>
            </w:r>
            <w:r w:rsidR="00723679">
              <w:t xml:space="preserve">division </w:t>
            </w:r>
            <w:r>
              <w:t xml:space="preserve">has been re-drawn </w:t>
            </w:r>
            <w:r w:rsidR="00651302">
              <w:t xml:space="preserve">so that it now includes </w:t>
            </w:r>
            <w:r w:rsidR="00723679">
              <w:t>p</w:t>
            </w:r>
            <w:r w:rsidR="00651302">
              <w:t xml:space="preserve">olling </w:t>
            </w:r>
            <w:r w:rsidR="00723679">
              <w:t>d</w:t>
            </w:r>
            <w:r w:rsidR="00651302">
              <w:t xml:space="preserve">istrict VW1 to the South. </w:t>
            </w:r>
            <w:r w:rsidR="001E61AE">
              <w:t xml:space="preserve">Polling </w:t>
            </w:r>
            <w:r w:rsidR="00723679">
              <w:t>d</w:t>
            </w:r>
            <w:r w:rsidR="001E61AE">
              <w:t xml:space="preserve">istricts ET1 and ET2 have moved into Egham, so that all of the Egham Town Wards are now in one </w:t>
            </w:r>
            <w:r w:rsidR="00723679">
              <w:t>d</w:t>
            </w:r>
            <w:r w:rsidR="001E61AE">
              <w:t xml:space="preserve">ivision. </w:t>
            </w:r>
          </w:p>
          <w:p w14:paraId="49CE1006" w14:textId="17585E1A" w:rsidR="001F7223" w:rsidRDefault="001F7223" w:rsidP="0064199A">
            <w:pPr>
              <w:ind w:left="60"/>
            </w:pPr>
          </w:p>
        </w:tc>
      </w:tr>
      <w:tr w:rsidR="00E965C4" w14:paraId="2895B5E1" w14:textId="77777777">
        <w:tc>
          <w:tcPr>
            <w:tcW w:w="3045" w:type="dxa"/>
          </w:tcPr>
          <w:p w14:paraId="1C37674E" w14:textId="7A9B1719" w:rsidR="00326C4D" w:rsidRDefault="00326C4D" w:rsidP="00E965C4">
            <w:pPr>
              <w:spacing w:before="240"/>
              <w:jc w:val="center"/>
              <w:rPr>
                <w:b/>
                <w:bCs/>
              </w:rPr>
            </w:pPr>
            <w:r>
              <w:rPr>
                <w:b/>
                <w:bCs/>
              </w:rPr>
              <w:t>Thorpe, Longcross and Ottershaw</w:t>
            </w:r>
          </w:p>
          <w:p w14:paraId="013A950F" w14:textId="1DA4F97A" w:rsidR="00E965C4" w:rsidRPr="00452FFC" w:rsidRDefault="00326C4D" w:rsidP="00E965C4">
            <w:pPr>
              <w:spacing w:before="240"/>
              <w:jc w:val="center"/>
              <w:rPr>
                <w:b/>
                <w:i/>
              </w:rPr>
            </w:pPr>
            <w:r w:rsidRPr="000E4DCC">
              <w:rPr>
                <w:b/>
                <w:bCs/>
                <w:i/>
                <w:iCs/>
              </w:rPr>
              <w:t xml:space="preserve">Was </w:t>
            </w:r>
            <w:r w:rsidR="00E965C4" w:rsidRPr="000E4DCC">
              <w:rPr>
                <w:b/>
                <w:i/>
              </w:rPr>
              <w:t>Foxhills, Thorpe and Virginia Water</w:t>
            </w:r>
          </w:p>
        </w:tc>
        <w:tc>
          <w:tcPr>
            <w:tcW w:w="1321" w:type="dxa"/>
            <w:vAlign w:val="center"/>
          </w:tcPr>
          <w:p w14:paraId="3F752024" w14:textId="6ACE8787" w:rsidR="00E965C4" w:rsidRDefault="00C72388" w:rsidP="00E965C4">
            <w:pPr>
              <w:spacing w:before="240"/>
              <w:jc w:val="center"/>
            </w:pPr>
            <w:r>
              <w:t>11,724</w:t>
            </w:r>
          </w:p>
        </w:tc>
        <w:tc>
          <w:tcPr>
            <w:tcW w:w="1280" w:type="dxa"/>
            <w:vAlign w:val="center"/>
          </w:tcPr>
          <w:p w14:paraId="0B5ED331" w14:textId="2682B33A" w:rsidR="00E965C4" w:rsidRDefault="00C72388" w:rsidP="00E965C4">
            <w:pPr>
              <w:spacing w:before="240"/>
              <w:jc w:val="center"/>
            </w:pPr>
            <w:r>
              <w:t>-2%</w:t>
            </w:r>
          </w:p>
        </w:tc>
        <w:tc>
          <w:tcPr>
            <w:tcW w:w="9375" w:type="dxa"/>
          </w:tcPr>
          <w:p w14:paraId="6F02DEAD" w14:textId="77777777" w:rsidR="00E965C4" w:rsidRDefault="00E965C4" w:rsidP="00E965C4">
            <w:pPr>
              <w:ind w:left="60"/>
              <w:rPr>
                <w:rFonts w:cs="Arial"/>
              </w:rPr>
            </w:pPr>
          </w:p>
          <w:p w14:paraId="04AE2A34" w14:textId="381ABDF7" w:rsidR="00E965C4" w:rsidRDefault="00A14F43" w:rsidP="00E965C4">
            <w:pPr>
              <w:ind w:left="60"/>
              <w:rPr>
                <w:rFonts w:cs="Arial"/>
              </w:rPr>
            </w:pPr>
            <w:r>
              <w:rPr>
                <w:rFonts w:cs="Arial"/>
              </w:rPr>
              <w:t xml:space="preserve">This </w:t>
            </w:r>
            <w:r w:rsidR="00723679">
              <w:rPr>
                <w:rFonts w:cs="Arial"/>
              </w:rPr>
              <w:t>d</w:t>
            </w:r>
            <w:r>
              <w:rPr>
                <w:rFonts w:cs="Arial"/>
              </w:rPr>
              <w:t xml:space="preserve">ivision has been re-drawn to improve electoral equality. </w:t>
            </w:r>
            <w:r w:rsidR="00855193">
              <w:rPr>
                <w:rFonts w:cs="Arial"/>
              </w:rPr>
              <w:t xml:space="preserve">It now includes TH3 and VW4, </w:t>
            </w:r>
            <w:r w:rsidR="00594997">
              <w:rPr>
                <w:rFonts w:cs="Arial"/>
              </w:rPr>
              <w:t>p</w:t>
            </w:r>
            <w:r w:rsidR="00855193">
              <w:rPr>
                <w:rFonts w:cs="Arial"/>
              </w:rPr>
              <w:t xml:space="preserve">olling </w:t>
            </w:r>
            <w:r w:rsidR="00594997">
              <w:rPr>
                <w:rFonts w:cs="Arial"/>
              </w:rPr>
              <w:t>d</w:t>
            </w:r>
            <w:r w:rsidR="00855193">
              <w:rPr>
                <w:rFonts w:cs="Arial"/>
              </w:rPr>
              <w:t xml:space="preserve">istricts that were previously in the Egham </w:t>
            </w:r>
            <w:r w:rsidR="00594997">
              <w:rPr>
                <w:rFonts w:cs="Arial"/>
              </w:rPr>
              <w:t>d</w:t>
            </w:r>
            <w:r w:rsidR="00855193">
              <w:rPr>
                <w:rFonts w:cs="Arial"/>
              </w:rPr>
              <w:t xml:space="preserve">ivision. Polling </w:t>
            </w:r>
            <w:r w:rsidR="00594997">
              <w:rPr>
                <w:rFonts w:cs="Arial"/>
              </w:rPr>
              <w:t>d</w:t>
            </w:r>
            <w:r w:rsidR="00855193">
              <w:rPr>
                <w:rFonts w:cs="Arial"/>
              </w:rPr>
              <w:t xml:space="preserve">istrict VW1 has moved into Englefield Green Division. </w:t>
            </w:r>
            <w:r w:rsidR="00452FFC">
              <w:rPr>
                <w:rFonts w:cs="Arial"/>
              </w:rPr>
              <w:t xml:space="preserve">Polling </w:t>
            </w:r>
            <w:r w:rsidR="0025458D">
              <w:rPr>
                <w:rFonts w:cs="Arial"/>
              </w:rPr>
              <w:t>d</w:t>
            </w:r>
            <w:r w:rsidR="00452FFC">
              <w:rPr>
                <w:rFonts w:cs="Arial"/>
              </w:rPr>
              <w:t xml:space="preserve">istrict LLC2 has moved from Chertsey </w:t>
            </w:r>
            <w:r w:rsidR="0025458D">
              <w:rPr>
                <w:rFonts w:cs="Arial"/>
              </w:rPr>
              <w:t>d</w:t>
            </w:r>
            <w:r w:rsidR="00452FFC">
              <w:rPr>
                <w:rFonts w:cs="Arial"/>
              </w:rPr>
              <w:t xml:space="preserve">ivision into this </w:t>
            </w:r>
            <w:r w:rsidR="0025458D">
              <w:rPr>
                <w:rFonts w:cs="Arial"/>
              </w:rPr>
              <w:t>d</w:t>
            </w:r>
            <w:r w:rsidR="00452FFC">
              <w:rPr>
                <w:rFonts w:cs="Arial"/>
              </w:rPr>
              <w:t>ivision, improving co-terminosity with the Borough Ward.</w:t>
            </w:r>
          </w:p>
        </w:tc>
      </w:tr>
      <w:tr w:rsidR="006E33D9" w14:paraId="1AF81780" w14:textId="77777777">
        <w:tc>
          <w:tcPr>
            <w:tcW w:w="3045" w:type="dxa"/>
          </w:tcPr>
          <w:p w14:paraId="126F39EE" w14:textId="77777777" w:rsidR="006E33D9" w:rsidRPr="006E33D9" w:rsidRDefault="006E33D9" w:rsidP="006E33D9">
            <w:pPr>
              <w:spacing w:before="240"/>
              <w:jc w:val="center"/>
              <w:rPr>
                <w:b/>
                <w:bCs/>
              </w:rPr>
            </w:pPr>
            <w:r w:rsidRPr="006E33D9">
              <w:rPr>
                <w:b/>
                <w:bCs/>
              </w:rPr>
              <w:t>Woodham &amp; New Haw</w:t>
            </w:r>
          </w:p>
        </w:tc>
        <w:tc>
          <w:tcPr>
            <w:tcW w:w="1321" w:type="dxa"/>
            <w:vAlign w:val="center"/>
          </w:tcPr>
          <w:p w14:paraId="500E13FC" w14:textId="5BC48619" w:rsidR="006E33D9" w:rsidRDefault="00693DD7" w:rsidP="006E33D9">
            <w:pPr>
              <w:spacing w:before="240"/>
              <w:jc w:val="center"/>
            </w:pPr>
            <w:r>
              <w:t>10, 671</w:t>
            </w:r>
          </w:p>
        </w:tc>
        <w:tc>
          <w:tcPr>
            <w:tcW w:w="1280" w:type="dxa"/>
            <w:vAlign w:val="center"/>
          </w:tcPr>
          <w:p w14:paraId="4721910C" w14:textId="058A3A81" w:rsidR="006E33D9" w:rsidRDefault="00693DD7" w:rsidP="006E33D9">
            <w:pPr>
              <w:spacing w:before="240"/>
              <w:jc w:val="center"/>
            </w:pPr>
            <w:r>
              <w:t>10%</w:t>
            </w:r>
          </w:p>
        </w:tc>
        <w:tc>
          <w:tcPr>
            <w:tcW w:w="9375" w:type="dxa"/>
          </w:tcPr>
          <w:p w14:paraId="1ADF733D" w14:textId="6E5797C5" w:rsidR="006E33D9" w:rsidRDefault="006E33D9" w:rsidP="0064199A">
            <w:pPr>
              <w:ind w:left="60"/>
              <w:rPr>
                <w:b/>
                <w:i/>
              </w:rPr>
            </w:pPr>
          </w:p>
          <w:p w14:paraId="316656A8" w14:textId="15A482D3" w:rsidR="00F6311E" w:rsidRPr="00F6311E" w:rsidRDefault="00F6311E" w:rsidP="0064199A">
            <w:pPr>
              <w:ind w:left="60"/>
              <w:rPr>
                <w:bCs/>
                <w:iCs/>
              </w:rPr>
            </w:pPr>
            <w:r>
              <w:t>The southern, eastern and western boundaries of the division of Woodham &amp; New Haw follow the borough border and therefore cannot be adjusted</w:t>
            </w:r>
            <w:r w:rsidR="007B42EE">
              <w:t>.</w:t>
            </w:r>
          </w:p>
          <w:p w14:paraId="50DE0C91" w14:textId="1273572A" w:rsidR="00452FFC" w:rsidRDefault="00102A64" w:rsidP="0064199A">
            <w:pPr>
              <w:ind w:left="60"/>
              <w:rPr>
                <w:bCs/>
                <w:iCs/>
              </w:rPr>
            </w:pPr>
            <w:r>
              <w:rPr>
                <w:bCs/>
                <w:iCs/>
              </w:rPr>
              <w:t>There has been a slight amendment to th</w:t>
            </w:r>
            <w:r w:rsidR="00F6311E">
              <w:rPr>
                <w:bCs/>
                <w:iCs/>
              </w:rPr>
              <w:t>e northern boundary of this division</w:t>
            </w:r>
            <w:r>
              <w:rPr>
                <w:bCs/>
                <w:iCs/>
              </w:rPr>
              <w:t xml:space="preserve">, with the remainder of </w:t>
            </w:r>
            <w:r w:rsidR="0025458D">
              <w:rPr>
                <w:bCs/>
                <w:iCs/>
              </w:rPr>
              <w:t>p</w:t>
            </w:r>
            <w:r>
              <w:rPr>
                <w:bCs/>
                <w:iCs/>
              </w:rPr>
              <w:t xml:space="preserve">olling </w:t>
            </w:r>
            <w:r w:rsidR="0025458D">
              <w:rPr>
                <w:bCs/>
                <w:iCs/>
              </w:rPr>
              <w:t>d</w:t>
            </w:r>
            <w:r>
              <w:rPr>
                <w:bCs/>
                <w:iCs/>
              </w:rPr>
              <w:t>istrict</w:t>
            </w:r>
            <w:r w:rsidR="004C6428">
              <w:rPr>
                <w:bCs/>
                <w:iCs/>
              </w:rPr>
              <w:t xml:space="preserve"> AS4 (which was previously split between two</w:t>
            </w:r>
            <w:r w:rsidR="00EB5D4A">
              <w:rPr>
                <w:bCs/>
                <w:iCs/>
              </w:rPr>
              <w:t xml:space="preserve"> Woodham &amp; New Haw and Addlestone </w:t>
            </w:r>
            <w:r w:rsidR="0025458D">
              <w:rPr>
                <w:bCs/>
                <w:iCs/>
              </w:rPr>
              <w:t>d</w:t>
            </w:r>
            <w:r w:rsidR="004C6428">
              <w:rPr>
                <w:bCs/>
                <w:iCs/>
              </w:rPr>
              <w:t xml:space="preserve">ivisions) moving into </w:t>
            </w:r>
            <w:r w:rsidR="00DD1242">
              <w:rPr>
                <w:bCs/>
                <w:iCs/>
              </w:rPr>
              <w:t>Woodham and New Haw.</w:t>
            </w:r>
          </w:p>
          <w:p w14:paraId="150925B4" w14:textId="6ADA3988" w:rsidR="006E33D9" w:rsidRPr="00452FFC" w:rsidRDefault="006E33D9" w:rsidP="0064199A">
            <w:pPr>
              <w:ind w:left="60"/>
            </w:pPr>
          </w:p>
        </w:tc>
      </w:tr>
    </w:tbl>
    <w:p w14:paraId="3AAA4A50" w14:textId="77777777" w:rsidR="008256AD" w:rsidRDefault="008256AD"/>
    <w:p w14:paraId="31F1BD79" w14:textId="77777777" w:rsidR="008256AD" w:rsidRDefault="008256AD"/>
    <w:p w14:paraId="21FE9FB4" w14:textId="77777777" w:rsidR="008256AD" w:rsidRDefault="008256AD"/>
    <w:p w14:paraId="40418093" w14:textId="77777777" w:rsidR="008256AD" w:rsidRPr="00E94BE8" w:rsidRDefault="008256AD">
      <w:pPr>
        <w:pStyle w:val="Heading1"/>
        <w:numPr>
          <w:ilvl w:val="0"/>
          <w:numId w:val="0"/>
        </w:numPr>
        <w:rPr>
          <w:highlight w:val="yellow"/>
        </w:rPr>
      </w:pPr>
      <w:r>
        <w:br w:type="page"/>
      </w:r>
      <w:r w:rsidRPr="00AB661E">
        <w:t>Spelthorne</w:t>
      </w:r>
    </w:p>
    <w:p w14:paraId="2BEE6C7B" w14:textId="77777777" w:rsidR="008256AD" w:rsidRPr="00E94BE8" w:rsidRDefault="008256AD">
      <w:pPr>
        <w:rPr>
          <w:highlight w:val="yellow"/>
        </w:rPr>
      </w:pPr>
    </w:p>
    <w:p w14:paraId="324DB827" w14:textId="4479C4D5" w:rsidR="008256AD" w:rsidRDefault="00DD1EA8">
      <w:r w:rsidRPr="00DD1EA8">
        <w:t>For Spelthorne, the proposal is for seven divisions representing an electorate of 82,143. This would equate to an average electorate size for each division of 11,735.</w:t>
      </w:r>
    </w:p>
    <w:p w14:paraId="6012B589" w14:textId="77777777" w:rsidR="008256AD" w:rsidRDefault="008256AD"/>
    <w:p w14:paraId="48CB2142" w14:textId="77777777" w:rsidR="008256AD" w:rsidRDefault="008256AD"/>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233"/>
      </w:tblGrid>
      <w:tr w:rsidR="003F67AB" w14:paraId="775EA6B2" w14:textId="77777777" w:rsidTr="003F67AB">
        <w:tc>
          <w:tcPr>
            <w:tcW w:w="3045" w:type="dxa"/>
          </w:tcPr>
          <w:p w14:paraId="33C7CEAC" w14:textId="77777777" w:rsidR="003F67AB" w:rsidRDefault="003F67AB">
            <w:pPr>
              <w:pStyle w:val="Heading4"/>
              <w:numPr>
                <w:ilvl w:val="0"/>
                <w:numId w:val="0"/>
              </w:numPr>
              <w:spacing w:before="120"/>
              <w:jc w:val="center"/>
              <w:rPr>
                <w:b/>
                <w:bCs/>
                <w:i w:val="0"/>
                <w:iCs w:val="0"/>
              </w:rPr>
            </w:pPr>
            <w:r>
              <w:rPr>
                <w:b/>
                <w:bCs/>
                <w:i w:val="0"/>
                <w:iCs w:val="0"/>
              </w:rPr>
              <w:t>Division Name</w:t>
            </w:r>
          </w:p>
        </w:tc>
        <w:tc>
          <w:tcPr>
            <w:tcW w:w="1321" w:type="dxa"/>
          </w:tcPr>
          <w:p w14:paraId="13507354" w14:textId="77777777" w:rsidR="003F67AB" w:rsidRDefault="003F67AB">
            <w:pPr>
              <w:spacing w:before="120"/>
              <w:jc w:val="center"/>
              <w:rPr>
                <w:b/>
                <w:bCs/>
              </w:rPr>
            </w:pPr>
            <w:r>
              <w:rPr>
                <w:b/>
                <w:bCs/>
              </w:rPr>
              <w:t>2029 Forecast Electorate</w:t>
            </w:r>
          </w:p>
        </w:tc>
        <w:tc>
          <w:tcPr>
            <w:tcW w:w="1280" w:type="dxa"/>
          </w:tcPr>
          <w:p w14:paraId="10652500" w14:textId="77777777" w:rsidR="003F67AB" w:rsidRDefault="003F67AB">
            <w:pPr>
              <w:spacing w:before="120"/>
              <w:jc w:val="center"/>
              <w:rPr>
                <w:b/>
                <w:bCs/>
              </w:rPr>
            </w:pPr>
            <w:r>
              <w:rPr>
                <w:b/>
                <w:bCs/>
              </w:rPr>
              <w:t>2029 Forecast Electorate Variance</w:t>
            </w:r>
          </w:p>
        </w:tc>
        <w:tc>
          <w:tcPr>
            <w:tcW w:w="9233" w:type="dxa"/>
          </w:tcPr>
          <w:p w14:paraId="79ACDB1B" w14:textId="77777777" w:rsidR="003F67AB" w:rsidRDefault="003F67AB">
            <w:pPr>
              <w:spacing w:before="120"/>
              <w:jc w:val="center"/>
              <w:rPr>
                <w:b/>
                <w:bCs/>
              </w:rPr>
            </w:pPr>
            <w:r>
              <w:rPr>
                <w:b/>
                <w:bCs/>
              </w:rPr>
              <w:t>Evidence and Rationale that the proposals meet the statutory criteria</w:t>
            </w:r>
          </w:p>
        </w:tc>
      </w:tr>
      <w:tr w:rsidR="006E33D9" w:rsidRPr="00F847C2" w14:paraId="366C8F21" w14:textId="77777777" w:rsidTr="00492484">
        <w:tc>
          <w:tcPr>
            <w:tcW w:w="3045" w:type="dxa"/>
            <w:shd w:val="clear" w:color="auto" w:fill="auto"/>
          </w:tcPr>
          <w:p w14:paraId="052DFFAA" w14:textId="77777777" w:rsidR="006E33D9" w:rsidRPr="00492484" w:rsidRDefault="006E33D9" w:rsidP="006E33D9">
            <w:pPr>
              <w:spacing w:before="240"/>
              <w:jc w:val="center"/>
              <w:rPr>
                <w:b/>
                <w:bCs/>
              </w:rPr>
            </w:pPr>
            <w:r w:rsidRPr="00492484">
              <w:rPr>
                <w:b/>
                <w:bCs/>
              </w:rPr>
              <w:t>Ashford</w:t>
            </w:r>
          </w:p>
        </w:tc>
        <w:tc>
          <w:tcPr>
            <w:tcW w:w="1321" w:type="dxa"/>
            <w:vAlign w:val="center"/>
          </w:tcPr>
          <w:p w14:paraId="50B5E01E" w14:textId="53170505" w:rsidR="006E33D9" w:rsidRPr="00F847C2" w:rsidRDefault="006E33D9" w:rsidP="006E33D9">
            <w:pPr>
              <w:spacing w:before="240"/>
              <w:jc w:val="center"/>
              <w:rPr>
                <w:highlight w:val="yellow"/>
              </w:rPr>
            </w:pPr>
            <w:r>
              <w:rPr>
                <w:rFonts w:cs="Arial"/>
              </w:rPr>
              <w:t>11,991</w:t>
            </w:r>
          </w:p>
        </w:tc>
        <w:tc>
          <w:tcPr>
            <w:tcW w:w="1280" w:type="dxa"/>
            <w:vAlign w:val="center"/>
          </w:tcPr>
          <w:p w14:paraId="6C63C40D" w14:textId="6B065B66" w:rsidR="006E33D9" w:rsidRPr="00F847C2" w:rsidRDefault="006E33D9" w:rsidP="006E33D9">
            <w:pPr>
              <w:spacing w:before="240"/>
              <w:jc w:val="center"/>
              <w:rPr>
                <w:highlight w:val="yellow"/>
              </w:rPr>
            </w:pPr>
            <w:r>
              <w:rPr>
                <w:rFonts w:cs="Arial"/>
              </w:rPr>
              <w:t>1%</w:t>
            </w:r>
          </w:p>
        </w:tc>
        <w:tc>
          <w:tcPr>
            <w:tcW w:w="9233" w:type="dxa"/>
          </w:tcPr>
          <w:p w14:paraId="210F97D6" w14:textId="1BAE8FC4" w:rsidR="006E33D9" w:rsidRPr="000A2043" w:rsidRDefault="006E33D9" w:rsidP="006E33D9">
            <w:pPr>
              <w:ind w:left="60"/>
            </w:pPr>
          </w:p>
          <w:p w14:paraId="12CE139E" w14:textId="541C0D42" w:rsidR="00B67B7F" w:rsidRPr="000A2043" w:rsidRDefault="00B67B7F" w:rsidP="00AB661E">
            <w:r w:rsidRPr="000A2043">
              <w:t xml:space="preserve">There are no suggested changes to this </w:t>
            </w:r>
            <w:r w:rsidR="00EB3A0B">
              <w:t>d</w:t>
            </w:r>
            <w:r w:rsidRPr="000A2043">
              <w:t>ivision.</w:t>
            </w:r>
          </w:p>
          <w:p w14:paraId="41D660ED" w14:textId="77777777" w:rsidR="00B67B7F" w:rsidRPr="000A2043" w:rsidRDefault="00B67B7F" w:rsidP="006E33D9">
            <w:pPr>
              <w:pStyle w:val="BodyTextIndent"/>
              <w:ind w:left="60" w:firstLine="0"/>
            </w:pPr>
          </w:p>
          <w:p w14:paraId="6E40ADC7" w14:textId="4442A5DF" w:rsidR="006E33D9" w:rsidRPr="000A2043" w:rsidRDefault="006E33D9" w:rsidP="00B67B7F">
            <w:pPr>
              <w:pStyle w:val="BodyTextIndent"/>
              <w:ind w:left="0" w:firstLine="0"/>
            </w:pPr>
            <w:r w:rsidRPr="000A2043">
              <w:t xml:space="preserve">The northern boundary for the </w:t>
            </w:r>
            <w:r w:rsidR="00D25E6E">
              <w:t>d</w:t>
            </w:r>
            <w:r w:rsidRPr="000A2043">
              <w:t xml:space="preserve">ivision of Ashford follows the railway line while the southern boundary is the A308, a main arterial road through the area.  Ashford as a whole is too large to be included in one division.  To ensure electoral equality, Stanwell Road, a main road, is used in the west as the boundary for the </w:t>
            </w:r>
            <w:r w:rsidR="00D25E6E">
              <w:t>d</w:t>
            </w:r>
            <w:r w:rsidRPr="000A2043">
              <w:t xml:space="preserve">ivision and the eastern boundary skirts Bedfont Lakes Country Park to the B377, then heads south through residential streets until it reaches the A308.  </w:t>
            </w:r>
          </w:p>
          <w:p w14:paraId="42579E9C" w14:textId="77777777" w:rsidR="006E33D9" w:rsidRPr="00F847C2" w:rsidRDefault="006E33D9" w:rsidP="006E33D9">
            <w:pPr>
              <w:ind w:left="60"/>
              <w:rPr>
                <w:highlight w:val="yellow"/>
              </w:rPr>
            </w:pPr>
          </w:p>
        </w:tc>
      </w:tr>
      <w:tr w:rsidR="00D77E44" w:rsidRPr="00F847C2" w14:paraId="2E8B40B3" w14:textId="77777777" w:rsidTr="00492484">
        <w:tc>
          <w:tcPr>
            <w:tcW w:w="3045" w:type="dxa"/>
            <w:shd w:val="clear" w:color="auto" w:fill="auto"/>
          </w:tcPr>
          <w:p w14:paraId="7DBBB143" w14:textId="77777777" w:rsidR="00D77E44" w:rsidRPr="00492484" w:rsidRDefault="00D77E44" w:rsidP="00D77E44">
            <w:pPr>
              <w:spacing w:before="240"/>
              <w:jc w:val="center"/>
              <w:rPr>
                <w:b/>
                <w:bCs/>
              </w:rPr>
            </w:pPr>
            <w:r w:rsidRPr="00492484">
              <w:rPr>
                <w:b/>
                <w:bCs/>
              </w:rPr>
              <w:t>Laleham &amp; Shepperton</w:t>
            </w:r>
          </w:p>
        </w:tc>
        <w:tc>
          <w:tcPr>
            <w:tcW w:w="1321" w:type="dxa"/>
            <w:vAlign w:val="center"/>
          </w:tcPr>
          <w:p w14:paraId="248C5419" w14:textId="5527B8B8" w:rsidR="00D77E44" w:rsidRPr="00F847C2" w:rsidRDefault="00D77E44" w:rsidP="00D77E44">
            <w:pPr>
              <w:spacing w:before="240"/>
              <w:jc w:val="center"/>
              <w:rPr>
                <w:highlight w:val="yellow"/>
              </w:rPr>
            </w:pPr>
            <w:r>
              <w:rPr>
                <w:rFonts w:cs="Arial"/>
              </w:rPr>
              <w:t>10,816</w:t>
            </w:r>
          </w:p>
        </w:tc>
        <w:tc>
          <w:tcPr>
            <w:tcW w:w="1280" w:type="dxa"/>
            <w:vAlign w:val="center"/>
          </w:tcPr>
          <w:p w14:paraId="36830731" w14:textId="7180CCC0" w:rsidR="00D77E44" w:rsidRPr="00F847C2" w:rsidRDefault="00D77E44" w:rsidP="00D77E44">
            <w:pPr>
              <w:spacing w:before="240"/>
              <w:jc w:val="center"/>
              <w:rPr>
                <w:highlight w:val="yellow"/>
              </w:rPr>
            </w:pPr>
            <w:r>
              <w:rPr>
                <w:rFonts w:cs="Arial"/>
              </w:rPr>
              <w:t>-9%</w:t>
            </w:r>
          </w:p>
        </w:tc>
        <w:tc>
          <w:tcPr>
            <w:tcW w:w="9233" w:type="dxa"/>
          </w:tcPr>
          <w:p w14:paraId="337089E1" w14:textId="12636084" w:rsidR="00D77E44" w:rsidRPr="00F847C2" w:rsidRDefault="00D77E44" w:rsidP="00D77E44">
            <w:pPr>
              <w:ind w:left="60"/>
              <w:rPr>
                <w:highlight w:val="yellow"/>
              </w:rPr>
            </w:pPr>
          </w:p>
          <w:p w14:paraId="097A555D" w14:textId="43DA1015" w:rsidR="00B67B7F" w:rsidRPr="000A2043" w:rsidRDefault="00B67B7F" w:rsidP="000A2043">
            <w:r w:rsidRPr="000A2043">
              <w:t xml:space="preserve">There are no suggested changes to this </w:t>
            </w:r>
            <w:r w:rsidR="00EB3A0B">
              <w:t>d</w:t>
            </w:r>
            <w:r w:rsidRPr="000A2043">
              <w:t>ivision.</w:t>
            </w:r>
          </w:p>
          <w:p w14:paraId="61D3B8BF" w14:textId="77777777" w:rsidR="00B67B7F" w:rsidRPr="000A2043" w:rsidRDefault="00B67B7F" w:rsidP="000A2043"/>
          <w:p w14:paraId="7F665167" w14:textId="69F11EE6" w:rsidR="00D77E44" w:rsidRPr="000A2043" w:rsidRDefault="00D77E44" w:rsidP="00D77E44">
            <w:pPr>
              <w:ind w:left="60"/>
            </w:pPr>
            <w:r w:rsidRPr="000A2043">
              <w:t xml:space="preserve">The southern boundary follows the border of the </w:t>
            </w:r>
            <w:r w:rsidR="0086021D">
              <w:t>b</w:t>
            </w:r>
            <w:r w:rsidRPr="000A2043">
              <w:t xml:space="preserve">orough with Runnymede and Elmbridge, mainly along the River Thames.  The eastern boundary then follows the River Ash and the outskirts of the Queen Mary Reservoir, with the remaining north and western boundaries following the main roads of the A308 and Ashford Road, skirting the grounds of Buckland Junior School and the Sports Ground before </w:t>
            </w:r>
            <w:r w:rsidR="00D25E6E" w:rsidRPr="000A2043">
              <w:t>re-joining</w:t>
            </w:r>
            <w:r w:rsidRPr="000A2043">
              <w:t xml:space="preserve"> the River Thames via Sweep’s Ditch.  </w:t>
            </w:r>
          </w:p>
          <w:p w14:paraId="134DE65D" w14:textId="77777777" w:rsidR="00D77E44" w:rsidRPr="00F847C2" w:rsidRDefault="00D77E44" w:rsidP="00D77E44">
            <w:pPr>
              <w:ind w:left="60"/>
              <w:rPr>
                <w:highlight w:val="yellow"/>
              </w:rPr>
            </w:pPr>
          </w:p>
        </w:tc>
      </w:tr>
      <w:tr w:rsidR="00D77E44" w:rsidRPr="00F847C2" w14:paraId="0A75C087" w14:textId="77777777" w:rsidTr="00492484">
        <w:tc>
          <w:tcPr>
            <w:tcW w:w="3045" w:type="dxa"/>
            <w:shd w:val="clear" w:color="auto" w:fill="auto"/>
          </w:tcPr>
          <w:p w14:paraId="2F3DCE5F" w14:textId="77777777" w:rsidR="00D77E44" w:rsidRPr="00492484" w:rsidRDefault="00D77E44" w:rsidP="00D77E44">
            <w:pPr>
              <w:spacing w:before="240"/>
              <w:jc w:val="center"/>
              <w:rPr>
                <w:b/>
                <w:bCs/>
              </w:rPr>
            </w:pPr>
            <w:r w:rsidRPr="00492484">
              <w:rPr>
                <w:b/>
                <w:bCs/>
              </w:rPr>
              <w:t>Lower Sunbury &amp; Halliford</w:t>
            </w:r>
          </w:p>
        </w:tc>
        <w:tc>
          <w:tcPr>
            <w:tcW w:w="1321" w:type="dxa"/>
            <w:vAlign w:val="center"/>
          </w:tcPr>
          <w:p w14:paraId="7122E6F4" w14:textId="2F9A98A8" w:rsidR="00D77E44" w:rsidRPr="00F847C2" w:rsidRDefault="00D77E44" w:rsidP="00D77E44">
            <w:pPr>
              <w:spacing w:before="240"/>
              <w:jc w:val="center"/>
              <w:rPr>
                <w:highlight w:val="yellow"/>
              </w:rPr>
            </w:pPr>
            <w:r>
              <w:rPr>
                <w:rFonts w:cs="Arial"/>
              </w:rPr>
              <w:t>11,832</w:t>
            </w:r>
          </w:p>
        </w:tc>
        <w:tc>
          <w:tcPr>
            <w:tcW w:w="1280" w:type="dxa"/>
            <w:vAlign w:val="center"/>
          </w:tcPr>
          <w:p w14:paraId="630313AD" w14:textId="0423293A" w:rsidR="00D77E44" w:rsidRPr="00F847C2" w:rsidRDefault="00D77E44" w:rsidP="00D77E44">
            <w:pPr>
              <w:spacing w:before="240"/>
              <w:jc w:val="center"/>
              <w:rPr>
                <w:highlight w:val="yellow"/>
              </w:rPr>
            </w:pPr>
            <w:r>
              <w:rPr>
                <w:rFonts w:cs="Arial"/>
              </w:rPr>
              <w:t>-1%</w:t>
            </w:r>
          </w:p>
        </w:tc>
        <w:tc>
          <w:tcPr>
            <w:tcW w:w="9233" w:type="dxa"/>
          </w:tcPr>
          <w:p w14:paraId="6D3F5A7F" w14:textId="77777777" w:rsidR="00D77E44" w:rsidRPr="000A2043" w:rsidRDefault="00D77E44" w:rsidP="00D77E44">
            <w:pPr>
              <w:ind w:left="60"/>
            </w:pPr>
          </w:p>
          <w:p w14:paraId="6C65CBD4" w14:textId="03EBBEFA" w:rsidR="00B67B7F" w:rsidRPr="000A2043" w:rsidRDefault="000A2043" w:rsidP="00D77E44">
            <w:pPr>
              <w:ind w:left="60"/>
            </w:pPr>
            <w:r w:rsidRPr="000A2043">
              <w:t xml:space="preserve">There are no suggested changes to this </w:t>
            </w:r>
            <w:r w:rsidR="00EB3A0B">
              <w:t>d</w:t>
            </w:r>
            <w:r w:rsidRPr="000A2043">
              <w:t>ivision.</w:t>
            </w:r>
          </w:p>
          <w:p w14:paraId="5254A449" w14:textId="77777777" w:rsidR="00B67B7F" w:rsidRPr="000A2043" w:rsidRDefault="00B67B7F" w:rsidP="00D77E44">
            <w:pPr>
              <w:ind w:left="60"/>
            </w:pPr>
          </w:p>
          <w:p w14:paraId="327FBB64" w14:textId="17836FF1" w:rsidR="00D77E44" w:rsidRPr="000A2043" w:rsidRDefault="00D77E44" w:rsidP="00D77E44">
            <w:pPr>
              <w:ind w:left="60"/>
            </w:pPr>
            <w:r w:rsidRPr="000A2043">
              <w:t xml:space="preserve">The </w:t>
            </w:r>
            <w:r w:rsidR="00195EA4">
              <w:t>d</w:t>
            </w:r>
            <w:r w:rsidRPr="000A2043">
              <w:t xml:space="preserve">ivision of Lower Sunbury &amp; Halliford has strong natural and physical boundaries defining it.  The southern boundary follows the </w:t>
            </w:r>
            <w:r w:rsidR="0086021D">
              <w:t>b</w:t>
            </w:r>
            <w:r w:rsidRPr="000A2043">
              <w:t xml:space="preserve">orough boundary with Elmbridge while the eastern and north-eastern corner are the County Border.  The remainder of the northern boundary follows the A316 into the M3 motorway with the final western boundary following the River Ash from the M3 back south to the </w:t>
            </w:r>
            <w:r w:rsidR="00D25E6E">
              <w:t>b</w:t>
            </w:r>
            <w:r w:rsidRPr="000A2043">
              <w:t xml:space="preserve">orough boundary.  </w:t>
            </w:r>
          </w:p>
          <w:p w14:paraId="6944AB8A" w14:textId="77777777" w:rsidR="00D77E44" w:rsidRPr="000A2043" w:rsidRDefault="00D77E44" w:rsidP="00D77E44">
            <w:pPr>
              <w:ind w:left="60"/>
            </w:pPr>
          </w:p>
        </w:tc>
      </w:tr>
      <w:tr w:rsidR="00D77E44" w:rsidRPr="00F847C2" w14:paraId="6E39F814" w14:textId="77777777" w:rsidTr="00492484">
        <w:tc>
          <w:tcPr>
            <w:tcW w:w="3045" w:type="dxa"/>
            <w:shd w:val="clear" w:color="auto" w:fill="auto"/>
          </w:tcPr>
          <w:p w14:paraId="6267A407" w14:textId="77777777" w:rsidR="00D77E44" w:rsidRPr="00492484" w:rsidRDefault="00D77E44" w:rsidP="00D77E44">
            <w:pPr>
              <w:spacing w:before="240"/>
              <w:jc w:val="center"/>
              <w:rPr>
                <w:b/>
                <w:bCs/>
              </w:rPr>
            </w:pPr>
            <w:r w:rsidRPr="00492484">
              <w:rPr>
                <w:b/>
                <w:bCs/>
              </w:rPr>
              <w:t>Staines</w:t>
            </w:r>
          </w:p>
        </w:tc>
        <w:tc>
          <w:tcPr>
            <w:tcW w:w="1321" w:type="dxa"/>
            <w:vAlign w:val="center"/>
          </w:tcPr>
          <w:p w14:paraId="3D0C8818" w14:textId="2E4456D4" w:rsidR="00D77E44" w:rsidRPr="00F847C2" w:rsidRDefault="00D77E44" w:rsidP="00D77E44">
            <w:pPr>
              <w:spacing w:before="240"/>
              <w:jc w:val="center"/>
              <w:rPr>
                <w:highlight w:val="yellow"/>
              </w:rPr>
            </w:pPr>
            <w:r>
              <w:rPr>
                <w:rFonts w:cs="Arial"/>
              </w:rPr>
              <w:t>12,317</w:t>
            </w:r>
          </w:p>
        </w:tc>
        <w:tc>
          <w:tcPr>
            <w:tcW w:w="1280" w:type="dxa"/>
            <w:vAlign w:val="center"/>
          </w:tcPr>
          <w:p w14:paraId="24CDDB9C" w14:textId="09F13B43" w:rsidR="00D77E44" w:rsidRPr="00F847C2" w:rsidRDefault="00D77E44" w:rsidP="00D77E44">
            <w:pPr>
              <w:spacing w:before="240"/>
              <w:jc w:val="center"/>
              <w:rPr>
                <w:highlight w:val="yellow"/>
              </w:rPr>
            </w:pPr>
            <w:r>
              <w:rPr>
                <w:rFonts w:cs="Arial"/>
              </w:rPr>
              <w:t>3%</w:t>
            </w:r>
          </w:p>
        </w:tc>
        <w:tc>
          <w:tcPr>
            <w:tcW w:w="9233" w:type="dxa"/>
          </w:tcPr>
          <w:p w14:paraId="195B84A0" w14:textId="77777777" w:rsidR="00D77E44" w:rsidRPr="000A2043" w:rsidRDefault="00D77E44" w:rsidP="00D77E44">
            <w:pPr>
              <w:ind w:left="60"/>
            </w:pPr>
          </w:p>
          <w:p w14:paraId="7533CF30" w14:textId="4F6D2AF9" w:rsidR="000A2043" w:rsidRPr="000A2043" w:rsidRDefault="000A2043" w:rsidP="00D77E44">
            <w:pPr>
              <w:ind w:left="60"/>
            </w:pPr>
            <w:r w:rsidRPr="000A2043">
              <w:t xml:space="preserve">There are no suggested changes to this </w:t>
            </w:r>
            <w:r w:rsidR="00EB3A0B">
              <w:t>d</w:t>
            </w:r>
            <w:r w:rsidRPr="000A2043">
              <w:t>ivision.</w:t>
            </w:r>
          </w:p>
          <w:p w14:paraId="23146970" w14:textId="77777777" w:rsidR="000A2043" w:rsidRPr="000A2043" w:rsidRDefault="000A2043" w:rsidP="00D77E44">
            <w:pPr>
              <w:ind w:left="60"/>
            </w:pPr>
          </w:p>
          <w:p w14:paraId="66FB9B3B" w14:textId="0A4B59D9" w:rsidR="00D77E44" w:rsidRPr="000A2043" w:rsidRDefault="00D77E44" w:rsidP="00D77E44">
            <w:pPr>
              <w:ind w:left="60"/>
            </w:pPr>
            <w:r w:rsidRPr="000A2043">
              <w:t xml:space="preserve">The western and southern boundaries of the </w:t>
            </w:r>
            <w:r w:rsidR="00865F9A">
              <w:t>d</w:t>
            </w:r>
            <w:r w:rsidRPr="000A2043">
              <w:t xml:space="preserve">ivision follow the </w:t>
            </w:r>
            <w:r w:rsidR="0086021D">
              <w:t>b</w:t>
            </w:r>
            <w:r w:rsidRPr="000A2043">
              <w:t xml:space="preserve">orough boundary, as does the northern corner around Wraysbury Reservoir.  The boundary then follows the edge of Staines Moor Nature Reserve down to the A30, which it follows to the edge of Ashford Park where it drops south to the railway, heads west along the railway towards Staines town centre and then follows Kingston Road and residential roads south to Sweep’s Ditch and back to the </w:t>
            </w:r>
            <w:r w:rsidR="00D25E6E">
              <w:t>b</w:t>
            </w:r>
            <w:r w:rsidRPr="000A2043">
              <w:t xml:space="preserve">orough boundary again. </w:t>
            </w:r>
          </w:p>
          <w:p w14:paraId="5D7F0D9C" w14:textId="77777777" w:rsidR="00D77E44" w:rsidRPr="00F847C2" w:rsidRDefault="00D77E44" w:rsidP="00D77E44">
            <w:pPr>
              <w:ind w:left="60"/>
              <w:rPr>
                <w:highlight w:val="yellow"/>
              </w:rPr>
            </w:pPr>
          </w:p>
        </w:tc>
      </w:tr>
      <w:tr w:rsidR="00D77E44" w:rsidRPr="00F847C2" w14:paraId="74B5FF18" w14:textId="77777777" w:rsidTr="00492484">
        <w:tc>
          <w:tcPr>
            <w:tcW w:w="3045" w:type="dxa"/>
            <w:shd w:val="clear" w:color="auto" w:fill="auto"/>
          </w:tcPr>
          <w:p w14:paraId="54D05E0C" w14:textId="711A1921" w:rsidR="008C6EE9" w:rsidRDefault="00D77E44" w:rsidP="00D77E44">
            <w:pPr>
              <w:spacing w:before="240"/>
              <w:jc w:val="center"/>
              <w:rPr>
                <w:b/>
                <w:bCs/>
              </w:rPr>
            </w:pPr>
            <w:r w:rsidRPr="00492484">
              <w:rPr>
                <w:b/>
                <w:bCs/>
              </w:rPr>
              <w:t>Staines South</w:t>
            </w:r>
            <w:r w:rsidR="008C6EE9" w:rsidRPr="008C6EE9">
              <w:rPr>
                <w:b/>
                <w:bCs/>
              </w:rPr>
              <w:t>, Laleham</w:t>
            </w:r>
            <w:r w:rsidRPr="00492484">
              <w:rPr>
                <w:b/>
                <w:bCs/>
              </w:rPr>
              <w:t xml:space="preserve"> and Ashford West</w:t>
            </w:r>
          </w:p>
          <w:p w14:paraId="40EF1260" w14:textId="73179732" w:rsidR="00D77E44" w:rsidRPr="00DD1242" w:rsidRDefault="00EB3A0B" w:rsidP="00D77E44">
            <w:pPr>
              <w:spacing w:before="240"/>
              <w:jc w:val="center"/>
              <w:rPr>
                <w:b/>
                <w:i/>
              </w:rPr>
            </w:pPr>
            <w:r>
              <w:rPr>
                <w:b/>
                <w:bCs/>
                <w:i/>
                <w:iCs/>
              </w:rPr>
              <w:t>Currently</w:t>
            </w:r>
            <w:r w:rsidR="008C6EE9">
              <w:rPr>
                <w:b/>
                <w:i/>
              </w:rPr>
              <w:t xml:space="preserve"> </w:t>
            </w:r>
            <w:r w:rsidR="00D77E44" w:rsidRPr="00DD1242">
              <w:rPr>
                <w:b/>
                <w:i/>
              </w:rPr>
              <w:t>Staines South and Ashford West</w:t>
            </w:r>
          </w:p>
        </w:tc>
        <w:tc>
          <w:tcPr>
            <w:tcW w:w="1321" w:type="dxa"/>
            <w:vAlign w:val="center"/>
          </w:tcPr>
          <w:p w14:paraId="2EA0B123" w14:textId="142BA922" w:rsidR="00D77E44" w:rsidRPr="00F847C2" w:rsidRDefault="00D77E44" w:rsidP="00D77E44">
            <w:pPr>
              <w:spacing w:before="240"/>
              <w:jc w:val="center"/>
              <w:rPr>
                <w:highlight w:val="yellow"/>
              </w:rPr>
            </w:pPr>
            <w:r>
              <w:rPr>
                <w:rFonts w:cs="Arial"/>
              </w:rPr>
              <w:t>11,059</w:t>
            </w:r>
          </w:p>
        </w:tc>
        <w:tc>
          <w:tcPr>
            <w:tcW w:w="1280" w:type="dxa"/>
            <w:vAlign w:val="center"/>
          </w:tcPr>
          <w:p w14:paraId="65B85165" w14:textId="3ECEFB4F" w:rsidR="00D77E44" w:rsidRPr="00F847C2" w:rsidRDefault="00D77E44" w:rsidP="00D77E44">
            <w:pPr>
              <w:spacing w:before="240"/>
              <w:jc w:val="center"/>
              <w:rPr>
                <w:highlight w:val="yellow"/>
              </w:rPr>
            </w:pPr>
            <w:r>
              <w:rPr>
                <w:rFonts w:cs="Arial"/>
              </w:rPr>
              <w:t>-7%</w:t>
            </w:r>
          </w:p>
        </w:tc>
        <w:tc>
          <w:tcPr>
            <w:tcW w:w="9233" w:type="dxa"/>
          </w:tcPr>
          <w:p w14:paraId="018ADAC8" w14:textId="77777777" w:rsidR="00D77E44" w:rsidRPr="00D36792" w:rsidRDefault="00D77E44" w:rsidP="00D77E44">
            <w:pPr>
              <w:ind w:left="60"/>
            </w:pPr>
          </w:p>
          <w:p w14:paraId="0E41C73A" w14:textId="6AC9E7D7" w:rsidR="000A2043" w:rsidRPr="00D36792" w:rsidRDefault="000A2043" w:rsidP="00D77E44">
            <w:pPr>
              <w:ind w:left="60"/>
            </w:pPr>
            <w:r w:rsidRPr="00D36792">
              <w:t xml:space="preserve">There are no suggested changes to the boundaries of this </w:t>
            </w:r>
            <w:r w:rsidR="00EB3A0B">
              <w:t>d</w:t>
            </w:r>
            <w:r w:rsidRPr="00D36792">
              <w:t xml:space="preserve">ivision. It is suggested that the name of the </w:t>
            </w:r>
            <w:r w:rsidR="00195EA4">
              <w:t>d</w:t>
            </w:r>
            <w:r w:rsidRPr="00D36792">
              <w:t xml:space="preserve">ivision is amended to Staines South, Laleham and Ashford West, to be better </w:t>
            </w:r>
            <w:r w:rsidR="00C26944" w:rsidRPr="00D36792">
              <w:t>reflect the communities which it represents.</w:t>
            </w:r>
          </w:p>
          <w:p w14:paraId="58C285DE" w14:textId="77777777" w:rsidR="000A2043" w:rsidRPr="00D36792" w:rsidRDefault="000A2043" w:rsidP="00D77E44">
            <w:pPr>
              <w:ind w:left="60"/>
            </w:pPr>
          </w:p>
          <w:p w14:paraId="46F7E0D4" w14:textId="69023A7B" w:rsidR="00D77E44" w:rsidRPr="00D36792" w:rsidRDefault="00D77E44" w:rsidP="00D77E44">
            <w:pPr>
              <w:ind w:left="60"/>
              <w:rPr>
                <w:b/>
                <w:i/>
              </w:rPr>
            </w:pPr>
            <w:r w:rsidRPr="00D36792">
              <w:t xml:space="preserve">The northern boundary of the </w:t>
            </w:r>
            <w:r w:rsidR="00865F9A">
              <w:t>d</w:t>
            </w:r>
            <w:r w:rsidRPr="00D36792">
              <w:t>ivision follows the A30, a major arterial road, from the edge of Ashford Park to Lodge Way before heading south along the boundary of Ashford High School and St David’s School to the railway.  The boundary then follows the railway west to Stanwell Road with the remainder of the western boundary following main roads (Stanwell Road, Ford Bridge and Ashford Road).  The southern boundary heads west along the grounds of Buckland Junior School and the Sports Ground until it reaches Laleham Road (B376), heading north west.</w:t>
            </w:r>
          </w:p>
          <w:p w14:paraId="2E790B5F" w14:textId="77777777" w:rsidR="00D77E44" w:rsidRPr="00D36792" w:rsidRDefault="00D77E44" w:rsidP="00D77E44">
            <w:pPr>
              <w:ind w:left="60"/>
            </w:pPr>
          </w:p>
        </w:tc>
      </w:tr>
      <w:tr w:rsidR="00492484" w:rsidRPr="00F847C2" w14:paraId="002A483B" w14:textId="77777777" w:rsidTr="00492484">
        <w:tc>
          <w:tcPr>
            <w:tcW w:w="3045" w:type="dxa"/>
            <w:shd w:val="clear" w:color="auto" w:fill="auto"/>
          </w:tcPr>
          <w:p w14:paraId="317E9DE7" w14:textId="77777777" w:rsidR="00757389" w:rsidRDefault="00757389" w:rsidP="00492484">
            <w:pPr>
              <w:spacing w:before="240"/>
              <w:jc w:val="center"/>
              <w:rPr>
                <w:b/>
                <w:bCs/>
              </w:rPr>
            </w:pPr>
          </w:p>
          <w:p w14:paraId="7BC4196D" w14:textId="24783839" w:rsidR="00757389" w:rsidRDefault="00492484" w:rsidP="00492484">
            <w:pPr>
              <w:spacing w:before="240"/>
              <w:jc w:val="center"/>
              <w:rPr>
                <w:b/>
                <w:bCs/>
              </w:rPr>
            </w:pPr>
            <w:r w:rsidRPr="00492484">
              <w:rPr>
                <w:b/>
                <w:bCs/>
              </w:rPr>
              <w:t>Stanwell</w:t>
            </w:r>
            <w:r w:rsidR="00294AA4" w:rsidRPr="00294AA4">
              <w:rPr>
                <w:b/>
                <w:bCs/>
              </w:rPr>
              <w:t xml:space="preserve">, </w:t>
            </w:r>
            <w:r w:rsidRPr="00492484">
              <w:rPr>
                <w:b/>
                <w:bCs/>
              </w:rPr>
              <w:t>Stanwell Moor</w:t>
            </w:r>
            <w:r w:rsidR="00294AA4" w:rsidRPr="00294AA4">
              <w:rPr>
                <w:b/>
                <w:bCs/>
              </w:rPr>
              <w:t xml:space="preserve"> and North Ashford</w:t>
            </w:r>
          </w:p>
          <w:p w14:paraId="050835C8" w14:textId="30908294" w:rsidR="00492484" w:rsidRPr="00DD1242" w:rsidRDefault="00865F9A" w:rsidP="00492484">
            <w:pPr>
              <w:spacing w:before="240"/>
              <w:jc w:val="center"/>
              <w:rPr>
                <w:b/>
                <w:i/>
              </w:rPr>
            </w:pPr>
            <w:r>
              <w:rPr>
                <w:b/>
                <w:bCs/>
                <w:i/>
                <w:iCs/>
              </w:rPr>
              <w:t>Currently</w:t>
            </w:r>
            <w:r w:rsidR="00757389">
              <w:rPr>
                <w:b/>
                <w:i/>
              </w:rPr>
              <w:t xml:space="preserve"> </w:t>
            </w:r>
            <w:r w:rsidR="00492484" w:rsidRPr="00DD1242">
              <w:rPr>
                <w:b/>
                <w:i/>
              </w:rPr>
              <w:t>Stanwell and Stanwell Moor</w:t>
            </w:r>
          </w:p>
        </w:tc>
        <w:tc>
          <w:tcPr>
            <w:tcW w:w="1321" w:type="dxa"/>
            <w:vAlign w:val="center"/>
          </w:tcPr>
          <w:p w14:paraId="2703E916" w14:textId="11975CD1" w:rsidR="00492484" w:rsidRPr="00F847C2" w:rsidRDefault="00492484" w:rsidP="00492484">
            <w:pPr>
              <w:spacing w:before="240"/>
              <w:jc w:val="center"/>
              <w:rPr>
                <w:highlight w:val="yellow"/>
              </w:rPr>
            </w:pPr>
            <w:r>
              <w:rPr>
                <w:rFonts w:cs="Arial"/>
              </w:rPr>
              <w:t>11,588</w:t>
            </w:r>
          </w:p>
        </w:tc>
        <w:tc>
          <w:tcPr>
            <w:tcW w:w="1280" w:type="dxa"/>
            <w:vAlign w:val="center"/>
          </w:tcPr>
          <w:p w14:paraId="5C11CA01" w14:textId="34D7D6E3" w:rsidR="00492484" w:rsidRPr="00F847C2" w:rsidRDefault="00492484" w:rsidP="00492484">
            <w:pPr>
              <w:spacing w:before="240"/>
              <w:jc w:val="center"/>
              <w:rPr>
                <w:highlight w:val="yellow"/>
              </w:rPr>
            </w:pPr>
            <w:r>
              <w:rPr>
                <w:rFonts w:cs="Arial"/>
              </w:rPr>
              <w:t>-3%</w:t>
            </w:r>
          </w:p>
        </w:tc>
        <w:tc>
          <w:tcPr>
            <w:tcW w:w="9233" w:type="dxa"/>
          </w:tcPr>
          <w:p w14:paraId="03708252" w14:textId="77777777" w:rsidR="00492484" w:rsidRPr="00D36792" w:rsidRDefault="00492484" w:rsidP="00492484">
            <w:pPr>
              <w:ind w:left="60"/>
            </w:pPr>
          </w:p>
          <w:p w14:paraId="396E4CA5" w14:textId="1DE7BD8B" w:rsidR="00D36792" w:rsidRPr="00D36792" w:rsidRDefault="00D36792" w:rsidP="00492484">
            <w:pPr>
              <w:ind w:left="60"/>
            </w:pPr>
            <w:r w:rsidRPr="00D36792">
              <w:t xml:space="preserve">There are no suggested changes to the boundaries of this </w:t>
            </w:r>
            <w:r w:rsidR="00E035B1">
              <w:t>d</w:t>
            </w:r>
            <w:r w:rsidRPr="00D36792">
              <w:t xml:space="preserve">ivision. It is suggested that the name of the </w:t>
            </w:r>
            <w:r w:rsidR="00865F9A">
              <w:t>d</w:t>
            </w:r>
            <w:r w:rsidRPr="00D36792">
              <w:t>ivision is amended to Stanwell, Stanwell Moor and North Ashford, to better reflect the communities which it represents.</w:t>
            </w:r>
          </w:p>
          <w:p w14:paraId="43E60E03" w14:textId="77777777" w:rsidR="00D36792" w:rsidRPr="00D36792" w:rsidRDefault="00D36792" w:rsidP="00492484">
            <w:pPr>
              <w:ind w:left="60"/>
            </w:pPr>
          </w:p>
          <w:p w14:paraId="0E442789" w14:textId="7CD2DDE5" w:rsidR="00492484" w:rsidRPr="00D36792" w:rsidRDefault="00492484" w:rsidP="00492484">
            <w:pPr>
              <w:ind w:left="60"/>
            </w:pPr>
            <w:r w:rsidRPr="00D36792">
              <w:t xml:space="preserve">The northern and eastern boundaries of the </w:t>
            </w:r>
            <w:r w:rsidR="00865F9A">
              <w:t>d</w:t>
            </w:r>
            <w:r w:rsidRPr="00D36792">
              <w:t xml:space="preserve">ivision of Stanwell and Stanwell Moor are defined by the County Border.  The western boundary heads south from the County Border around Wraysbury Reservoir to the M25 and then skirts the edge of Staines Moor Nature Reserve until it meets the A30.  The southern boundary follows the A30 eastbound until it passes Lodge Way where it heads south, skirting the grounds of Ashford High School and St James’ School until it reaches the railway, following this east back to the County Border.   </w:t>
            </w:r>
          </w:p>
          <w:p w14:paraId="67AD5888" w14:textId="77777777" w:rsidR="00492484" w:rsidRPr="00D36792" w:rsidRDefault="00492484" w:rsidP="00492484">
            <w:pPr>
              <w:ind w:left="60"/>
            </w:pPr>
          </w:p>
        </w:tc>
      </w:tr>
      <w:tr w:rsidR="00492484" w14:paraId="709AABEC" w14:textId="77777777" w:rsidTr="00492484">
        <w:tc>
          <w:tcPr>
            <w:tcW w:w="3045" w:type="dxa"/>
            <w:shd w:val="clear" w:color="auto" w:fill="auto"/>
          </w:tcPr>
          <w:p w14:paraId="7121A558" w14:textId="77777777" w:rsidR="00492484" w:rsidRPr="00492484" w:rsidRDefault="00492484" w:rsidP="00492484">
            <w:pPr>
              <w:spacing w:before="240"/>
              <w:jc w:val="center"/>
              <w:rPr>
                <w:b/>
                <w:bCs/>
              </w:rPr>
            </w:pPr>
            <w:r w:rsidRPr="00492484">
              <w:rPr>
                <w:b/>
                <w:bCs/>
              </w:rPr>
              <w:t>Sunbury Common &amp; Ashford Common</w:t>
            </w:r>
          </w:p>
        </w:tc>
        <w:tc>
          <w:tcPr>
            <w:tcW w:w="1321" w:type="dxa"/>
            <w:vAlign w:val="center"/>
          </w:tcPr>
          <w:p w14:paraId="32D11DBA" w14:textId="1A740120" w:rsidR="00492484" w:rsidRPr="00F847C2" w:rsidRDefault="00492484" w:rsidP="00492484">
            <w:pPr>
              <w:spacing w:before="240"/>
              <w:jc w:val="center"/>
              <w:rPr>
                <w:highlight w:val="yellow"/>
              </w:rPr>
            </w:pPr>
            <w:r>
              <w:rPr>
                <w:rFonts w:cs="Arial"/>
              </w:rPr>
              <w:t>12,540</w:t>
            </w:r>
          </w:p>
        </w:tc>
        <w:tc>
          <w:tcPr>
            <w:tcW w:w="1280" w:type="dxa"/>
            <w:vAlign w:val="center"/>
          </w:tcPr>
          <w:p w14:paraId="1B6E3B12" w14:textId="323FE14F" w:rsidR="00492484" w:rsidRPr="00F847C2" w:rsidRDefault="00492484" w:rsidP="00492484">
            <w:pPr>
              <w:spacing w:before="240"/>
              <w:jc w:val="center"/>
              <w:rPr>
                <w:highlight w:val="yellow"/>
              </w:rPr>
            </w:pPr>
            <w:r>
              <w:rPr>
                <w:rFonts w:cs="Arial"/>
              </w:rPr>
              <w:t>5%</w:t>
            </w:r>
          </w:p>
        </w:tc>
        <w:tc>
          <w:tcPr>
            <w:tcW w:w="9233" w:type="dxa"/>
          </w:tcPr>
          <w:p w14:paraId="32213321" w14:textId="77777777" w:rsidR="00492484" w:rsidRPr="00D36792" w:rsidRDefault="00492484" w:rsidP="00492484">
            <w:pPr>
              <w:ind w:left="60"/>
            </w:pPr>
          </w:p>
          <w:p w14:paraId="200D064D" w14:textId="529541C9" w:rsidR="00D36792" w:rsidRPr="00D36792" w:rsidRDefault="00D36792" w:rsidP="00492484">
            <w:pPr>
              <w:ind w:left="60"/>
            </w:pPr>
            <w:r w:rsidRPr="00D36792">
              <w:t xml:space="preserve">There are no suggested changes to this </w:t>
            </w:r>
            <w:r w:rsidR="00203514">
              <w:t>d</w:t>
            </w:r>
            <w:r w:rsidRPr="00D36792">
              <w:t>ivision.</w:t>
            </w:r>
          </w:p>
          <w:p w14:paraId="5011B063" w14:textId="77777777" w:rsidR="00D36792" w:rsidRPr="00D36792" w:rsidRDefault="00D36792" w:rsidP="00492484">
            <w:pPr>
              <w:ind w:left="60"/>
            </w:pPr>
          </w:p>
          <w:p w14:paraId="3EB35946" w14:textId="604B7BAA" w:rsidR="00492484" w:rsidRDefault="00492484" w:rsidP="00492484">
            <w:pPr>
              <w:ind w:left="60"/>
            </w:pPr>
            <w:r w:rsidRPr="00D36792">
              <w:t xml:space="preserve">The northern boundary of the </w:t>
            </w:r>
            <w:r w:rsidR="00203514">
              <w:t>d</w:t>
            </w:r>
            <w:r w:rsidRPr="00D36792">
              <w:t>ivision of Sunbury Common &amp; Ashford Common follows the County Border, while the southern boundary is the M3 motorway.  The remaining western boundary follows the River Ash and the boundary with Queen Mary Reservoir to the A308 and then heads northeast through Ashford Common until it reaches the County Border.</w:t>
            </w:r>
            <w:r>
              <w:t xml:space="preserve">  </w:t>
            </w:r>
          </w:p>
          <w:p w14:paraId="01749592" w14:textId="77777777" w:rsidR="00492484" w:rsidRDefault="00492484" w:rsidP="00492484">
            <w:pPr>
              <w:ind w:left="60"/>
            </w:pPr>
          </w:p>
        </w:tc>
      </w:tr>
    </w:tbl>
    <w:p w14:paraId="78C26B2D" w14:textId="77777777" w:rsidR="008256AD" w:rsidRDefault="008256AD"/>
    <w:p w14:paraId="55969F0C" w14:textId="77777777" w:rsidR="008256AD" w:rsidRDefault="008256AD"/>
    <w:p w14:paraId="0E607963" w14:textId="77777777" w:rsidR="008256AD" w:rsidRDefault="008256AD">
      <w:pPr>
        <w:pStyle w:val="Heading1"/>
        <w:numPr>
          <w:ilvl w:val="0"/>
          <w:numId w:val="0"/>
        </w:numPr>
      </w:pPr>
      <w:r>
        <w:br w:type="page"/>
        <w:t>Surrey Heath</w:t>
      </w:r>
    </w:p>
    <w:p w14:paraId="261D7F44" w14:textId="77777777" w:rsidR="008256AD" w:rsidRDefault="008256AD"/>
    <w:p w14:paraId="51ABCD65" w14:textId="77A965D5" w:rsidR="008256AD" w:rsidRDefault="00472A83">
      <w:r w:rsidRPr="00472A83">
        <w:t>For Surrey Heath, the proposal is for six divisions representing an electorate of 73,830. This would equate to an average electorate size for each division of 12,305.</w:t>
      </w:r>
    </w:p>
    <w:p w14:paraId="46F36E0A" w14:textId="77777777" w:rsidR="008256AD" w:rsidRDefault="008256AD"/>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233"/>
      </w:tblGrid>
      <w:tr w:rsidR="003F67AB" w:rsidRPr="00F847C2" w14:paraId="44A4F315" w14:textId="77777777" w:rsidTr="003F67AB">
        <w:tc>
          <w:tcPr>
            <w:tcW w:w="3045" w:type="dxa"/>
          </w:tcPr>
          <w:p w14:paraId="03D14104" w14:textId="77777777" w:rsidR="003F67AB" w:rsidRPr="009D2612" w:rsidRDefault="003F67AB">
            <w:pPr>
              <w:pStyle w:val="Heading4"/>
              <w:numPr>
                <w:ilvl w:val="0"/>
                <w:numId w:val="0"/>
              </w:numPr>
              <w:spacing w:before="120"/>
              <w:jc w:val="center"/>
              <w:rPr>
                <w:b/>
                <w:bCs/>
                <w:i w:val="0"/>
                <w:iCs w:val="0"/>
              </w:rPr>
            </w:pPr>
            <w:r w:rsidRPr="009D2612">
              <w:rPr>
                <w:b/>
                <w:i w:val="0"/>
              </w:rPr>
              <w:t>Division Name</w:t>
            </w:r>
          </w:p>
        </w:tc>
        <w:tc>
          <w:tcPr>
            <w:tcW w:w="1321" w:type="dxa"/>
          </w:tcPr>
          <w:p w14:paraId="0DB7DF98" w14:textId="77777777" w:rsidR="003F67AB" w:rsidRPr="009D2612" w:rsidRDefault="003F67AB">
            <w:pPr>
              <w:spacing w:before="120"/>
              <w:jc w:val="center"/>
              <w:rPr>
                <w:b/>
                <w:bCs/>
              </w:rPr>
            </w:pPr>
            <w:r w:rsidRPr="009D2612">
              <w:rPr>
                <w:b/>
              </w:rPr>
              <w:t>2029 Forecast Electorate</w:t>
            </w:r>
          </w:p>
        </w:tc>
        <w:tc>
          <w:tcPr>
            <w:tcW w:w="1280" w:type="dxa"/>
          </w:tcPr>
          <w:p w14:paraId="620972FA" w14:textId="77777777" w:rsidR="003F67AB" w:rsidRPr="009D2612" w:rsidRDefault="003F67AB">
            <w:pPr>
              <w:spacing w:before="120"/>
              <w:jc w:val="center"/>
              <w:rPr>
                <w:b/>
                <w:bCs/>
              </w:rPr>
            </w:pPr>
            <w:r w:rsidRPr="009D2612">
              <w:rPr>
                <w:b/>
              </w:rPr>
              <w:t>2029 Forecast Electorate Variance</w:t>
            </w:r>
          </w:p>
        </w:tc>
        <w:tc>
          <w:tcPr>
            <w:tcW w:w="9233" w:type="dxa"/>
          </w:tcPr>
          <w:p w14:paraId="798D8143" w14:textId="77777777" w:rsidR="003F67AB" w:rsidRPr="009D2612" w:rsidRDefault="003F67AB">
            <w:pPr>
              <w:spacing w:before="120"/>
              <w:jc w:val="center"/>
              <w:rPr>
                <w:b/>
                <w:bCs/>
              </w:rPr>
            </w:pPr>
            <w:r w:rsidRPr="009D2612">
              <w:rPr>
                <w:b/>
              </w:rPr>
              <w:t>Evidence and Rationale that the proposals meet the statutory criteria</w:t>
            </w:r>
          </w:p>
        </w:tc>
      </w:tr>
      <w:tr w:rsidR="008F1942" w:rsidRPr="00F847C2" w14:paraId="046294A3" w14:textId="77777777">
        <w:tc>
          <w:tcPr>
            <w:tcW w:w="3045" w:type="dxa"/>
          </w:tcPr>
          <w:p w14:paraId="070E3D55" w14:textId="77777777" w:rsidR="008F1942" w:rsidRPr="001E1482" w:rsidRDefault="008F1942" w:rsidP="008F1942">
            <w:pPr>
              <w:spacing w:before="240"/>
              <w:jc w:val="center"/>
              <w:rPr>
                <w:b/>
                <w:bCs/>
              </w:rPr>
            </w:pPr>
            <w:r w:rsidRPr="001E1482">
              <w:rPr>
                <w:b/>
                <w:bCs/>
              </w:rPr>
              <w:t>Lightwater, West End &amp; Bilsey</w:t>
            </w:r>
          </w:p>
        </w:tc>
        <w:tc>
          <w:tcPr>
            <w:tcW w:w="1321" w:type="dxa"/>
            <w:vAlign w:val="center"/>
          </w:tcPr>
          <w:p w14:paraId="48538B0B" w14:textId="6428CD97" w:rsidR="008F1942" w:rsidRPr="00D648DA" w:rsidRDefault="008F1942" w:rsidP="008F1942">
            <w:pPr>
              <w:spacing w:before="240"/>
              <w:jc w:val="center"/>
            </w:pPr>
            <w:r w:rsidRPr="00D648DA">
              <w:rPr>
                <w:rFonts w:cs="Arial"/>
              </w:rPr>
              <w:t>13,145</w:t>
            </w:r>
          </w:p>
        </w:tc>
        <w:tc>
          <w:tcPr>
            <w:tcW w:w="1280" w:type="dxa"/>
            <w:vAlign w:val="center"/>
          </w:tcPr>
          <w:p w14:paraId="480A026E" w14:textId="7506BD1D" w:rsidR="008F1942" w:rsidRPr="00D648DA" w:rsidRDefault="008F1942" w:rsidP="008F1942">
            <w:pPr>
              <w:spacing w:before="240"/>
              <w:jc w:val="center"/>
            </w:pPr>
            <w:r w:rsidRPr="00D648DA">
              <w:rPr>
                <w:rFonts w:cs="Arial"/>
              </w:rPr>
              <w:t>10%</w:t>
            </w:r>
          </w:p>
        </w:tc>
        <w:tc>
          <w:tcPr>
            <w:tcW w:w="9233" w:type="dxa"/>
          </w:tcPr>
          <w:p w14:paraId="43AF7BA6" w14:textId="77777777" w:rsidR="008F1942" w:rsidRPr="00F847C2" w:rsidRDefault="008F1942" w:rsidP="008F1942">
            <w:pPr>
              <w:ind w:left="60"/>
              <w:rPr>
                <w:highlight w:val="yellow"/>
              </w:rPr>
            </w:pPr>
          </w:p>
          <w:p w14:paraId="0812584D" w14:textId="436BAE22" w:rsidR="00AB555E" w:rsidRDefault="00AB555E" w:rsidP="00AB661E">
            <w:r>
              <w:t xml:space="preserve">There are no suggested changes to this </w:t>
            </w:r>
            <w:r w:rsidR="00203514">
              <w:t>d</w:t>
            </w:r>
            <w:r>
              <w:t>ivision.</w:t>
            </w:r>
          </w:p>
          <w:p w14:paraId="15F76757" w14:textId="77777777" w:rsidR="00AB555E" w:rsidRDefault="00AB555E" w:rsidP="00486A3F">
            <w:pPr>
              <w:ind w:left="60"/>
            </w:pPr>
          </w:p>
          <w:p w14:paraId="1C1EE3E0" w14:textId="5A16C206" w:rsidR="00486A3F" w:rsidRDefault="00486A3F" w:rsidP="00486A3F">
            <w:pPr>
              <w:ind w:left="60"/>
            </w:pPr>
            <w:r>
              <w:t xml:space="preserve">The villages of Lightwater, West End and Bisley have a good amount of commonality within their </w:t>
            </w:r>
            <w:r w:rsidR="00203514">
              <w:t>communities</w:t>
            </w:r>
            <w:r>
              <w:t>.  They are situated within a rural setting and are surrounded by natural heathland, grassland and woodland.  The villages are notable for their Sites of Specific Scientific Interest and local nature reserves with Brentmoor Heath, Bisley and West End Common along with Turfhill being of specific note.  All three communities consider their greenspaces to be valuable community assets and are proud of their rural heritage which sets them apart from the more urbanised areas of Camberley and Woking.</w:t>
            </w:r>
          </w:p>
          <w:p w14:paraId="6818BCE6" w14:textId="77777777" w:rsidR="00486A3F" w:rsidRDefault="00486A3F" w:rsidP="00486A3F">
            <w:pPr>
              <w:ind w:left="60"/>
            </w:pPr>
          </w:p>
          <w:p w14:paraId="252E3F2E" w14:textId="1813AA0F" w:rsidR="0050271E" w:rsidRPr="0050271E" w:rsidRDefault="00486A3F" w:rsidP="00486A3F">
            <w:pPr>
              <w:ind w:left="60"/>
            </w:pPr>
            <w:r>
              <w:t>Each of the villages has their own distinct characteristics and all are supported by strong, vital community groups, organisations and Parish Councils which form the backbone of their communities.</w:t>
            </w:r>
          </w:p>
          <w:p w14:paraId="09EDD720" w14:textId="77777777" w:rsidR="008F1942" w:rsidRPr="00F847C2" w:rsidRDefault="008F1942" w:rsidP="008F1942">
            <w:pPr>
              <w:rPr>
                <w:highlight w:val="yellow"/>
              </w:rPr>
            </w:pPr>
          </w:p>
        </w:tc>
      </w:tr>
      <w:tr w:rsidR="005F5EF5" w:rsidRPr="00F847C2" w14:paraId="4B8A49F1" w14:textId="77777777">
        <w:tc>
          <w:tcPr>
            <w:tcW w:w="3045" w:type="dxa"/>
          </w:tcPr>
          <w:p w14:paraId="54ECD28F" w14:textId="77777777" w:rsidR="005F5EF5" w:rsidRPr="001E1482" w:rsidRDefault="005F5EF5" w:rsidP="005F5EF5">
            <w:pPr>
              <w:spacing w:before="240"/>
              <w:jc w:val="center"/>
              <w:rPr>
                <w:b/>
                <w:bCs/>
              </w:rPr>
            </w:pPr>
            <w:r w:rsidRPr="001E1482">
              <w:rPr>
                <w:b/>
                <w:bCs/>
              </w:rPr>
              <w:t>Camberley East</w:t>
            </w:r>
          </w:p>
        </w:tc>
        <w:tc>
          <w:tcPr>
            <w:tcW w:w="1321" w:type="dxa"/>
            <w:vAlign w:val="center"/>
          </w:tcPr>
          <w:p w14:paraId="1C568B46" w14:textId="639A3A9E" w:rsidR="005F5EF5" w:rsidRPr="00D648DA" w:rsidRDefault="005F5EF5" w:rsidP="005F5EF5">
            <w:pPr>
              <w:spacing w:before="240"/>
              <w:jc w:val="center"/>
            </w:pPr>
            <w:r w:rsidRPr="00D648DA">
              <w:rPr>
                <w:rFonts w:cs="Arial"/>
              </w:rPr>
              <w:t>12,</w:t>
            </w:r>
            <w:r w:rsidR="007052E3" w:rsidRPr="00D648DA">
              <w:rPr>
                <w:rFonts w:cs="Arial"/>
              </w:rPr>
              <w:t>852</w:t>
            </w:r>
          </w:p>
        </w:tc>
        <w:tc>
          <w:tcPr>
            <w:tcW w:w="1280" w:type="dxa"/>
            <w:vAlign w:val="center"/>
          </w:tcPr>
          <w:p w14:paraId="3F29AF4E" w14:textId="3EA6F8C9" w:rsidR="005F5EF5" w:rsidRPr="00D648DA" w:rsidRDefault="007052E3" w:rsidP="005F5EF5">
            <w:pPr>
              <w:spacing w:before="240"/>
              <w:jc w:val="center"/>
            </w:pPr>
            <w:r w:rsidRPr="00D648DA">
              <w:rPr>
                <w:rFonts w:cs="Arial"/>
              </w:rPr>
              <w:t>8</w:t>
            </w:r>
            <w:r w:rsidR="005F5EF5" w:rsidRPr="00D648DA">
              <w:rPr>
                <w:rFonts w:cs="Arial"/>
              </w:rPr>
              <w:t>%</w:t>
            </w:r>
          </w:p>
        </w:tc>
        <w:tc>
          <w:tcPr>
            <w:tcW w:w="9233" w:type="dxa"/>
          </w:tcPr>
          <w:p w14:paraId="17129E6D" w14:textId="77C99DDC" w:rsidR="005F5EF5" w:rsidRDefault="005F5EF5" w:rsidP="005F5EF5">
            <w:pPr>
              <w:overflowPunct/>
              <w:textAlignment w:val="auto"/>
              <w:rPr>
                <w:rFonts w:cs="Arial"/>
                <w:color w:val="000000"/>
                <w:szCs w:val="22"/>
                <w:lang w:val="en-US"/>
              </w:rPr>
            </w:pPr>
          </w:p>
          <w:p w14:paraId="1491A86F" w14:textId="48C94D35" w:rsidR="00BE1D38" w:rsidRPr="00BE1D38" w:rsidRDefault="0007302E" w:rsidP="005F5EF5">
            <w:pPr>
              <w:overflowPunct/>
              <w:textAlignment w:val="auto"/>
              <w:rPr>
                <w:rFonts w:cs="Arial"/>
                <w:color w:val="000000"/>
                <w:szCs w:val="22"/>
                <w:lang w:val="en-US"/>
              </w:rPr>
            </w:pPr>
            <w:r>
              <w:rPr>
                <w:rFonts w:cs="Arial"/>
                <w:color w:val="000000"/>
                <w:szCs w:val="22"/>
                <w:lang w:val="en-US"/>
              </w:rPr>
              <w:t xml:space="preserve">To address some anomalies in the existing boundaries, it is suggested </w:t>
            </w:r>
            <w:r w:rsidR="008403C4">
              <w:rPr>
                <w:rFonts w:cs="Arial"/>
                <w:color w:val="000000"/>
                <w:szCs w:val="22"/>
                <w:lang w:val="en-US"/>
              </w:rPr>
              <w:t>th</w:t>
            </w:r>
            <w:r w:rsidR="001245B2">
              <w:rPr>
                <w:rFonts w:cs="Arial"/>
                <w:color w:val="000000"/>
                <w:szCs w:val="22"/>
                <w:lang w:val="en-US"/>
              </w:rPr>
              <w:t>at</w:t>
            </w:r>
            <w:r w:rsidR="008403C4">
              <w:t xml:space="preserve"> </w:t>
            </w:r>
            <w:r w:rsidR="008403C4" w:rsidRPr="008403C4">
              <w:rPr>
                <w:rFonts w:cs="Arial"/>
                <w:color w:val="000000"/>
                <w:szCs w:val="22"/>
                <w:lang w:val="en-US"/>
              </w:rPr>
              <w:t xml:space="preserve">polling district </w:t>
            </w:r>
            <w:r w:rsidR="00A41325">
              <w:rPr>
                <w:rFonts w:cs="Arial"/>
                <w:color w:val="000000"/>
                <w:szCs w:val="22"/>
                <w:lang w:val="en-US"/>
              </w:rPr>
              <w:t>EB</w:t>
            </w:r>
            <w:r w:rsidR="008403C4" w:rsidRPr="008403C4">
              <w:rPr>
                <w:rFonts w:cs="Arial"/>
                <w:color w:val="000000"/>
                <w:szCs w:val="22"/>
                <w:lang w:val="en-US"/>
              </w:rPr>
              <w:t xml:space="preserve"> </w:t>
            </w:r>
            <w:r w:rsidR="001245B2">
              <w:rPr>
                <w:rFonts w:cs="Arial"/>
                <w:color w:val="000000"/>
                <w:szCs w:val="22"/>
                <w:lang w:val="en-US"/>
              </w:rPr>
              <w:t xml:space="preserve">moves </w:t>
            </w:r>
            <w:r w:rsidR="008403C4" w:rsidRPr="008403C4">
              <w:rPr>
                <w:rFonts w:cs="Arial"/>
                <w:color w:val="000000"/>
                <w:szCs w:val="22"/>
                <w:lang w:val="en-US"/>
              </w:rPr>
              <w:t xml:space="preserve">from Heatherside &amp; Parkside </w:t>
            </w:r>
            <w:r w:rsidR="001245B2">
              <w:rPr>
                <w:rFonts w:cs="Arial"/>
                <w:color w:val="000000"/>
                <w:szCs w:val="22"/>
                <w:lang w:val="en-US"/>
              </w:rPr>
              <w:t xml:space="preserve">division </w:t>
            </w:r>
            <w:r w:rsidR="008403C4" w:rsidRPr="008403C4">
              <w:rPr>
                <w:rFonts w:cs="Arial"/>
                <w:color w:val="000000"/>
                <w:szCs w:val="22"/>
                <w:lang w:val="en-US"/>
              </w:rPr>
              <w:t xml:space="preserve">to Camberley East </w:t>
            </w:r>
            <w:r w:rsidR="001245B2">
              <w:rPr>
                <w:rFonts w:cs="Arial"/>
                <w:color w:val="000000"/>
                <w:szCs w:val="22"/>
                <w:lang w:val="en-US"/>
              </w:rPr>
              <w:t xml:space="preserve">division </w:t>
            </w:r>
            <w:r w:rsidR="008403C4" w:rsidRPr="008403C4">
              <w:rPr>
                <w:rFonts w:cs="Arial"/>
                <w:color w:val="000000"/>
                <w:szCs w:val="22"/>
                <w:lang w:val="en-US"/>
              </w:rPr>
              <w:t>to join communities up along natural borders separated by the M3, and the Maltway. This change will also be co-terminus with existing Borough Council wards St Pauls.</w:t>
            </w:r>
            <w:r w:rsidR="00BB7C77">
              <w:rPr>
                <w:rFonts w:cs="Arial"/>
                <w:color w:val="000000"/>
                <w:szCs w:val="22"/>
                <w:lang w:val="en-US"/>
              </w:rPr>
              <w:t xml:space="preserve"> Additionally, polling district </w:t>
            </w:r>
            <w:r w:rsidR="00BB7C77" w:rsidRPr="00BB7C77">
              <w:rPr>
                <w:rFonts w:cs="Arial"/>
                <w:color w:val="000000"/>
                <w:szCs w:val="22"/>
                <w:lang w:val="en-US"/>
              </w:rPr>
              <w:t>BB and the remainder of BA will be brought into this division, for co-terminosity and the dividing line boundary of the A30, where most of the residents to the north of the road form a community linked to the miltary and the Royal Military Academy Sandhurst.</w:t>
            </w:r>
          </w:p>
          <w:p w14:paraId="3601323B" w14:textId="77777777" w:rsidR="00BE1D38" w:rsidRDefault="00BE1D38" w:rsidP="005F5EF5">
            <w:pPr>
              <w:overflowPunct/>
              <w:textAlignment w:val="auto"/>
              <w:rPr>
                <w:rFonts w:cs="Arial"/>
                <w:color w:val="000000"/>
                <w:szCs w:val="22"/>
                <w:lang w:val="en-US"/>
              </w:rPr>
            </w:pPr>
          </w:p>
          <w:p w14:paraId="5E4D6BE2" w14:textId="54A86E90" w:rsidR="00CD168C" w:rsidRDefault="002A7046" w:rsidP="00CD168C">
            <w:pPr>
              <w:overflowPunct/>
              <w:textAlignment w:val="auto"/>
              <w:rPr>
                <w:rFonts w:cs="Arial"/>
                <w:color w:val="000000"/>
                <w:szCs w:val="22"/>
                <w:lang w:val="en-US"/>
              </w:rPr>
            </w:pPr>
            <w:r>
              <w:rPr>
                <w:rFonts w:cs="Arial"/>
                <w:color w:val="000000"/>
                <w:szCs w:val="22"/>
                <w:lang w:val="en-US"/>
              </w:rPr>
              <w:t>The final change on existing boundaries</w:t>
            </w:r>
            <w:r w:rsidR="00CD168C">
              <w:rPr>
                <w:rFonts w:cs="Arial"/>
                <w:color w:val="000000"/>
                <w:szCs w:val="22"/>
                <w:lang w:val="en-US"/>
              </w:rPr>
              <w:t xml:space="preserve"> would be for </w:t>
            </w:r>
            <w:r w:rsidR="00CD168C" w:rsidRPr="00CD168C">
              <w:rPr>
                <w:rFonts w:cs="Arial"/>
                <w:color w:val="000000"/>
                <w:szCs w:val="22"/>
                <w:lang w:val="en-US"/>
              </w:rPr>
              <w:t>polling district DC</w:t>
            </w:r>
            <w:r w:rsidR="00CD168C">
              <w:rPr>
                <w:rFonts w:cs="Arial"/>
                <w:color w:val="000000"/>
                <w:szCs w:val="22"/>
                <w:lang w:val="en-US"/>
              </w:rPr>
              <w:t xml:space="preserve"> to be moved</w:t>
            </w:r>
            <w:r w:rsidR="00CD168C" w:rsidRPr="00CD168C">
              <w:rPr>
                <w:rFonts w:cs="Arial"/>
                <w:color w:val="000000"/>
                <w:szCs w:val="22"/>
                <w:lang w:val="en-US"/>
              </w:rPr>
              <w:t xml:space="preserve"> from Camberley East to Camberley</w:t>
            </w:r>
            <w:r w:rsidR="0075473B">
              <w:rPr>
                <w:rFonts w:cs="Arial"/>
                <w:color w:val="000000"/>
                <w:szCs w:val="22"/>
                <w:lang w:val="en-US"/>
              </w:rPr>
              <w:t xml:space="preserve">. </w:t>
            </w:r>
            <w:r w:rsidR="006C0557">
              <w:rPr>
                <w:rFonts w:cs="Arial"/>
                <w:color w:val="000000"/>
                <w:szCs w:val="22"/>
                <w:lang w:val="en-US"/>
              </w:rPr>
              <w:t>This would</w:t>
            </w:r>
            <w:r w:rsidR="00CD168C" w:rsidRPr="00CD168C">
              <w:rPr>
                <w:rFonts w:cs="Arial"/>
                <w:color w:val="000000"/>
                <w:szCs w:val="22"/>
                <w:lang w:val="en-US"/>
              </w:rPr>
              <w:t xml:space="preserve"> make the </w:t>
            </w:r>
            <w:r w:rsidR="006C0557">
              <w:rPr>
                <w:rFonts w:cs="Arial"/>
                <w:color w:val="000000"/>
                <w:szCs w:val="22"/>
                <w:lang w:val="en-US"/>
              </w:rPr>
              <w:t>county division more</w:t>
            </w:r>
            <w:r w:rsidR="00CD168C" w:rsidRPr="00CD168C">
              <w:rPr>
                <w:rFonts w:cs="Arial"/>
                <w:color w:val="000000"/>
                <w:szCs w:val="22"/>
                <w:lang w:val="en-US"/>
              </w:rPr>
              <w:t xml:space="preserve"> co-</w:t>
            </w:r>
            <w:r w:rsidR="006C0557">
              <w:rPr>
                <w:rFonts w:cs="Arial"/>
                <w:color w:val="000000"/>
                <w:szCs w:val="22"/>
                <w:lang w:val="en-US"/>
              </w:rPr>
              <w:t>terminous</w:t>
            </w:r>
            <w:r w:rsidR="00CD168C" w:rsidRPr="00CD168C">
              <w:rPr>
                <w:rFonts w:cs="Arial"/>
                <w:color w:val="000000"/>
                <w:szCs w:val="22"/>
                <w:lang w:val="en-US"/>
              </w:rPr>
              <w:t xml:space="preserve"> with the borough council boundary of Watchetts Ward.</w:t>
            </w:r>
          </w:p>
          <w:p w14:paraId="333D2391" w14:textId="77777777" w:rsidR="005F5EF5" w:rsidRPr="00F847C2" w:rsidRDefault="005F5EF5" w:rsidP="005F5EF5">
            <w:pPr>
              <w:overflowPunct/>
              <w:textAlignment w:val="auto"/>
              <w:rPr>
                <w:rFonts w:cs="Arial"/>
                <w:szCs w:val="22"/>
                <w:highlight w:val="yellow"/>
              </w:rPr>
            </w:pPr>
          </w:p>
        </w:tc>
      </w:tr>
      <w:tr w:rsidR="005F5EF5" w:rsidRPr="00F847C2" w14:paraId="030ACD75" w14:textId="77777777">
        <w:tc>
          <w:tcPr>
            <w:tcW w:w="3045" w:type="dxa"/>
          </w:tcPr>
          <w:p w14:paraId="13437B58" w14:textId="77777777" w:rsidR="005F5EF5" w:rsidRPr="006B741A" w:rsidRDefault="005F5EF5" w:rsidP="005F5EF5">
            <w:pPr>
              <w:spacing w:before="240"/>
              <w:jc w:val="center"/>
              <w:rPr>
                <w:b/>
                <w:bCs/>
              </w:rPr>
            </w:pPr>
            <w:r w:rsidRPr="006B741A">
              <w:rPr>
                <w:b/>
                <w:bCs/>
              </w:rPr>
              <w:t>Camberley West</w:t>
            </w:r>
          </w:p>
        </w:tc>
        <w:tc>
          <w:tcPr>
            <w:tcW w:w="1321" w:type="dxa"/>
            <w:vAlign w:val="center"/>
          </w:tcPr>
          <w:p w14:paraId="1EDF9BD0" w14:textId="6171A5DE" w:rsidR="005F5EF5" w:rsidRPr="006B741A" w:rsidRDefault="005F5EF5" w:rsidP="005F5EF5">
            <w:pPr>
              <w:spacing w:before="240"/>
              <w:jc w:val="center"/>
            </w:pPr>
            <w:r w:rsidRPr="006B741A">
              <w:rPr>
                <w:rFonts w:cs="Arial"/>
              </w:rPr>
              <w:t>1</w:t>
            </w:r>
            <w:r w:rsidR="00AC4638" w:rsidRPr="006B741A">
              <w:rPr>
                <w:rFonts w:cs="Arial"/>
              </w:rPr>
              <w:t>2,611</w:t>
            </w:r>
          </w:p>
        </w:tc>
        <w:tc>
          <w:tcPr>
            <w:tcW w:w="1280" w:type="dxa"/>
            <w:vAlign w:val="center"/>
          </w:tcPr>
          <w:p w14:paraId="036940ED" w14:textId="31E7CE10" w:rsidR="005F5EF5" w:rsidRPr="006B741A" w:rsidRDefault="00AC4638" w:rsidP="005F5EF5">
            <w:pPr>
              <w:spacing w:before="240"/>
              <w:jc w:val="center"/>
            </w:pPr>
            <w:r w:rsidRPr="006B741A">
              <w:rPr>
                <w:rFonts w:cs="Arial"/>
              </w:rPr>
              <w:t>6</w:t>
            </w:r>
            <w:r w:rsidR="005F5EF5" w:rsidRPr="006B741A">
              <w:rPr>
                <w:rFonts w:cs="Arial"/>
              </w:rPr>
              <w:t>%</w:t>
            </w:r>
          </w:p>
        </w:tc>
        <w:tc>
          <w:tcPr>
            <w:tcW w:w="9233" w:type="dxa"/>
          </w:tcPr>
          <w:p w14:paraId="537E1BE3" w14:textId="77777777" w:rsidR="005F5EF5" w:rsidRDefault="005F5EF5" w:rsidP="00AC4638"/>
          <w:p w14:paraId="1162DA6B" w14:textId="51D9B2A0" w:rsidR="00307005" w:rsidRPr="00307005" w:rsidRDefault="00307005" w:rsidP="00AD49BB">
            <w:r>
              <w:t>A number of changes to the existing boundaries</w:t>
            </w:r>
            <w:r w:rsidR="00EA3D65">
              <w:t xml:space="preserve"> of this division</w:t>
            </w:r>
            <w:r>
              <w:t xml:space="preserve"> have been proposed to better align communities and improve co-terminosity </w:t>
            </w:r>
            <w:r w:rsidR="00657ED1">
              <w:t>with Borough Wards</w:t>
            </w:r>
            <w:r>
              <w:t>.</w:t>
            </w:r>
            <w:r w:rsidR="00CC3497">
              <w:t xml:space="preserve"> Firstly it </w:t>
            </w:r>
            <w:r w:rsidR="001403F9">
              <w:t xml:space="preserve">is proposed that  polling </w:t>
            </w:r>
            <w:r w:rsidR="001403F9" w:rsidRPr="001403F9">
              <w:t xml:space="preserve">district DC </w:t>
            </w:r>
            <w:r w:rsidR="00CC3497">
              <w:t>moves</w:t>
            </w:r>
            <w:r w:rsidR="001403F9" w:rsidRPr="001403F9">
              <w:t xml:space="preserve"> from Camberley East to Camberley West</w:t>
            </w:r>
            <w:r w:rsidR="00B70582">
              <w:t xml:space="preserve">, </w:t>
            </w:r>
            <w:r w:rsidR="001403F9" w:rsidRPr="001403F9">
              <w:t xml:space="preserve">as those who live within this area have a strong community with others in neighbouring polling district </w:t>
            </w:r>
            <w:r w:rsidR="00CC3497">
              <w:t>DB</w:t>
            </w:r>
            <w:r w:rsidR="00B70582">
              <w:t>. This move would also</w:t>
            </w:r>
            <w:r w:rsidR="001403F9" w:rsidRPr="001403F9">
              <w:t xml:space="preserve"> make the area co-terminus with the boundary of Watchetts Ward.</w:t>
            </w:r>
            <w:r w:rsidR="00D27851">
              <w:t xml:space="preserve"> </w:t>
            </w:r>
          </w:p>
          <w:p w14:paraId="03E71122" w14:textId="77777777" w:rsidR="00307005" w:rsidRPr="00307005" w:rsidRDefault="00307005" w:rsidP="005F5EF5">
            <w:pPr>
              <w:ind w:left="60"/>
            </w:pPr>
          </w:p>
          <w:p w14:paraId="6A1821B2" w14:textId="1A547DE0" w:rsidR="00307005" w:rsidRPr="00307005" w:rsidRDefault="00DA0368" w:rsidP="005F5EF5">
            <w:pPr>
              <w:ind w:left="60"/>
            </w:pPr>
            <w:r>
              <w:t>Secondly it is suggested that</w:t>
            </w:r>
            <w:r w:rsidR="00022997">
              <w:t xml:space="preserve"> </w:t>
            </w:r>
            <w:r w:rsidR="00022997" w:rsidRPr="00022997">
              <w:t xml:space="preserve">the entirety of polling district </w:t>
            </w:r>
            <w:r>
              <w:t>BB</w:t>
            </w:r>
            <w:r w:rsidR="00022997" w:rsidRPr="00022997">
              <w:t xml:space="preserve"> and outlier of BA </w:t>
            </w:r>
            <w:r w:rsidR="0037135C">
              <w:t>should</w:t>
            </w:r>
            <w:r w:rsidR="00022997" w:rsidRPr="00022997">
              <w:t xml:space="preserve"> be moved from Camberley West</w:t>
            </w:r>
            <w:r w:rsidR="001C6869">
              <w:t xml:space="preserve"> </w:t>
            </w:r>
            <w:r w:rsidR="00022997" w:rsidRPr="00022997">
              <w:t>into Camberley East for co-terminosity.</w:t>
            </w:r>
          </w:p>
          <w:p w14:paraId="1729A9F0" w14:textId="77777777" w:rsidR="00307005" w:rsidRPr="00307005" w:rsidRDefault="00307005" w:rsidP="005F5EF5">
            <w:pPr>
              <w:ind w:left="60"/>
            </w:pPr>
          </w:p>
          <w:p w14:paraId="27F5B71A" w14:textId="457A5E65" w:rsidR="00307005" w:rsidRPr="00AB555E" w:rsidRDefault="00CB3CEF" w:rsidP="005F5EF5">
            <w:pPr>
              <w:ind w:left="60"/>
            </w:pPr>
            <w:r>
              <w:t xml:space="preserve">Finally, part of polling district F </w:t>
            </w:r>
            <w:r w:rsidR="00FC72C8">
              <w:t>should</w:t>
            </w:r>
            <w:r>
              <w:t xml:space="preserve"> be moved from Camberley West to Heatherside &amp; Parkside with the revised boundary </w:t>
            </w:r>
            <w:r w:rsidR="00FC72C8">
              <w:t>drawn</w:t>
            </w:r>
            <w:r>
              <w:t xml:space="preserve"> along either the industrial estate or including the entirety of sycamore drive (which will stay east) that meets the cricket club (which will stay west), down to and including Frimley Grove Gardens (which will be split between the </w:t>
            </w:r>
            <w:r w:rsidR="00FC72C8">
              <w:t>two</w:t>
            </w:r>
            <w:r>
              <w:t xml:space="preserve"> divisions).</w:t>
            </w:r>
          </w:p>
          <w:p w14:paraId="7DA6CCC6" w14:textId="77777777" w:rsidR="005F5EF5" w:rsidRPr="00F847C2" w:rsidRDefault="005F5EF5" w:rsidP="005F5EF5">
            <w:pPr>
              <w:ind w:left="60"/>
              <w:rPr>
                <w:highlight w:val="yellow"/>
              </w:rPr>
            </w:pPr>
          </w:p>
        </w:tc>
      </w:tr>
      <w:tr w:rsidR="005F5EF5" w:rsidRPr="00F847C2" w14:paraId="59AD4FD1" w14:textId="77777777">
        <w:tc>
          <w:tcPr>
            <w:tcW w:w="3045" w:type="dxa"/>
          </w:tcPr>
          <w:p w14:paraId="7510967E" w14:textId="1D3C0F1D" w:rsidR="00DA0680" w:rsidRPr="00857A24" w:rsidRDefault="00DA0680" w:rsidP="005F5EF5">
            <w:pPr>
              <w:spacing w:before="240"/>
              <w:jc w:val="center"/>
              <w:rPr>
                <w:rFonts w:cs="Arial"/>
                <w:b/>
                <w:szCs w:val="22"/>
              </w:rPr>
            </w:pPr>
            <w:r w:rsidRPr="00857A24">
              <w:rPr>
                <w:rFonts w:cs="Arial"/>
                <w:b/>
                <w:szCs w:val="22"/>
              </w:rPr>
              <w:t>Mytchett</w:t>
            </w:r>
            <w:r w:rsidR="00A77FCE" w:rsidRPr="00857A24">
              <w:rPr>
                <w:rFonts w:cs="Arial"/>
                <w:b/>
                <w:szCs w:val="22"/>
              </w:rPr>
              <w:t xml:space="preserve">, </w:t>
            </w:r>
            <w:r w:rsidR="005F5EF5" w:rsidRPr="00857A24">
              <w:rPr>
                <w:rFonts w:cs="Arial"/>
                <w:b/>
                <w:szCs w:val="22"/>
              </w:rPr>
              <w:t xml:space="preserve">Frimley Green &amp; </w:t>
            </w:r>
            <w:r w:rsidR="00A77FCE" w:rsidRPr="00857A24">
              <w:rPr>
                <w:rFonts w:cs="Arial"/>
                <w:b/>
                <w:szCs w:val="22"/>
              </w:rPr>
              <w:t>Deepcut</w:t>
            </w:r>
          </w:p>
          <w:p w14:paraId="44B72292" w14:textId="77777777" w:rsidR="00DA0680" w:rsidRPr="00857A24" w:rsidRDefault="00DA0680" w:rsidP="005F5EF5">
            <w:pPr>
              <w:spacing w:before="240"/>
              <w:jc w:val="center"/>
              <w:rPr>
                <w:rFonts w:cs="Arial"/>
                <w:b/>
                <w:szCs w:val="22"/>
              </w:rPr>
            </w:pPr>
          </w:p>
          <w:p w14:paraId="5078A8FE" w14:textId="63D81C95" w:rsidR="005F5EF5" w:rsidRPr="00DD1242" w:rsidRDefault="006E57A4" w:rsidP="005F5EF5">
            <w:pPr>
              <w:spacing w:before="240"/>
              <w:jc w:val="center"/>
              <w:rPr>
                <w:b/>
                <w:i/>
              </w:rPr>
            </w:pPr>
            <w:r>
              <w:rPr>
                <w:rFonts w:cs="Arial"/>
                <w:b/>
                <w:bCs/>
                <w:i/>
                <w:iCs/>
                <w:szCs w:val="22"/>
              </w:rPr>
              <w:t>Currently</w:t>
            </w:r>
            <w:r w:rsidR="00A77FCE" w:rsidRPr="00DD1242">
              <w:rPr>
                <w:rFonts w:cs="Arial"/>
                <w:b/>
                <w:i/>
                <w:szCs w:val="22"/>
              </w:rPr>
              <w:t xml:space="preserve"> </w:t>
            </w:r>
            <w:r w:rsidR="005F5EF5" w:rsidRPr="00DD1242">
              <w:rPr>
                <w:rFonts w:cs="Arial"/>
                <w:b/>
                <w:i/>
                <w:szCs w:val="22"/>
              </w:rPr>
              <w:t>Frimley Green &amp; Mytchett</w:t>
            </w:r>
          </w:p>
        </w:tc>
        <w:tc>
          <w:tcPr>
            <w:tcW w:w="1321" w:type="dxa"/>
            <w:vAlign w:val="center"/>
          </w:tcPr>
          <w:p w14:paraId="3FF7E78D" w14:textId="6CDB93AB" w:rsidR="005F5EF5" w:rsidRPr="006B741A" w:rsidRDefault="00C54DEE" w:rsidP="005F5EF5">
            <w:pPr>
              <w:spacing w:before="240"/>
              <w:jc w:val="center"/>
            </w:pPr>
            <w:r w:rsidRPr="006B741A">
              <w:t>10,939</w:t>
            </w:r>
          </w:p>
        </w:tc>
        <w:tc>
          <w:tcPr>
            <w:tcW w:w="1280" w:type="dxa"/>
            <w:vAlign w:val="center"/>
          </w:tcPr>
          <w:p w14:paraId="247ADD72" w14:textId="626DF89F" w:rsidR="005F5EF5" w:rsidRPr="006B741A" w:rsidRDefault="00C54DEE" w:rsidP="005F5EF5">
            <w:pPr>
              <w:spacing w:before="240"/>
              <w:jc w:val="center"/>
            </w:pPr>
            <w:r w:rsidRPr="006B741A">
              <w:rPr>
                <w:rFonts w:cs="Arial"/>
              </w:rPr>
              <w:t>-8</w:t>
            </w:r>
            <w:r w:rsidR="005F5EF5" w:rsidRPr="006B741A">
              <w:rPr>
                <w:rFonts w:cs="Arial"/>
              </w:rPr>
              <w:t>%</w:t>
            </w:r>
          </w:p>
        </w:tc>
        <w:tc>
          <w:tcPr>
            <w:tcW w:w="9233" w:type="dxa"/>
          </w:tcPr>
          <w:p w14:paraId="227B6E03" w14:textId="77777777" w:rsidR="005F5EF5" w:rsidRPr="00F847C2" w:rsidRDefault="005F5EF5" w:rsidP="005F5EF5">
            <w:pPr>
              <w:ind w:left="60"/>
              <w:rPr>
                <w:highlight w:val="yellow"/>
              </w:rPr>
            </w:pPr>
          </w:p>
          <w:p w14:paraId="77B5A5BB" w14:textId="7023F601" w:rsidR="002E3DFF" w:rsidRDefault="002E3DFF" w:rsidP="005F5EF5">
            <w:pPr>
              <w:ind w:left="60"/>
            </w:pPr>
            <w:r>
              <w:t>For the most part, this division</w:t>
            </w:r>
            <w:r w:rsidR="00B565CE">
              <w:t xml:space="preserve"> is a largely self-contained and easily defined, with external borough boundaries to the south</w:t>
            </w:r>
            <w:r w:rsidR="009A1511">
              <w:t>, west</w:t>
            </w:r>
            <w:r w:rsidR="00C00AE3">
              <w:t xml:space="preserve"> (</w:t>
            </w:r>
            <w:r w:rsidR="00FA6AFD">
              <w:t>C</w:t>
            </w:r>
            <w:r w:rsidR="00C00AE3">
              <w:t>ounty border)</w:t>
            </w:r>
            <w:r w:rsidR="009A1511">
              <w:t xml:space="preserve">, and south-east. It is suggested that </w:t>
            </w:r>
            <w:r w:rsidR="0026619C">
              <w:t>there should be a slight change to the existing boundaries with</w:t>
            </w:r>
            <w:r w:rsidR="009A1511">
              <w:t xml:space="preserve"> </w:t>
            </w:r>
            <w:r w:rsidR="000735C9">
              <w:t xml:space="preserve">polling district </w:t>
            </w:r>
            <w:r w:rsidR="000735C9" w:rsidRPr="000735C9">
              <w:t xml:space="preserve">IA (along the north border of Balmoral drive) being moved to Camberley West. This will </w:t>
            </w:r>
            <w:r w:rsidR="00EA3D65">
              <w:t>support the</w:t>
            </w:r>
            <w:r w:rsidR="000735C9" w:rsidRPr="000735C9">
              <w:t xml:space="preserve"> communities</w:t>
            </w:r>
            <w:r w:rsidR="00EA3D65">
              <w:t xml:space="preserve"> in this area</w:t>
            </w:r>
            <w:r w:rsidR="000735C9" w:rsidRPr="000735C9">
              <w:t xml:space="preserve"> who see themselves more aligned to Frimley village, as opposed to Frimley Green.</w:t>
            </w:r>
          </w:p>
          <w:p w14:paraId="233240DB" w14:textId="77777777" w:rsidR="006C2E6C" w:rsidRDefault="006C2E6C" w:rsidP="005F5EF5">
            <w:pPr>
              <w:ind w:left="60"/>
            </w:pPr>
          </w:p>
          <w:p w14:paraId="3848F919" w14:textId="460BC2DF" w:rsidR="006C2E6C" w:rsidRPr="002E3DFF" w:rsidRDefault="00691038" w:rsidP="005F5EF5">
            <w:pPr>
              <w:ind w:left="60"/>
            </w:pPr>
            <w:r w:rsidRPr="00691038">
              <w:t>The north</w:t>
            </w:r>
            <w:r w:rsidR="006E57A4">
              <w:t>-</w:t>
            </w:r>
            <w:r w:rsidRPr="00691038">
              <w:t xml:space="preserve">east section of the boundary meets West End Parish. Half of the northern boundary joins Heatherside &amp; Parkside Division, following Old Bisley Road along to the Tomlinscote School junction. The community of Deepcut is separate to that of Heatherside and this is a suitable place to have the boundary.  </w:t>
            </w:r>
          </w:p>
          <w:p w14:paraId="0B47B9BD" w14:textId="74C4BFA1" w:rsidR="005F5EF5" w:rsidRPr="00F847C2" w:rsidRDefault="005F5EF5" w:rsidP="00B857AA">
            <w:pPr>
              <w:rPr>
                <w:highlight w:val="yellow"/>
              </w:rPr>
            </w:pPr>
          </w:p>
        </w:tc>
      </w:tr>
      <w:tr w:rsidR="005F5EF5" w:rsidRPr="00F847C2" w14:paraId="5B153AB7" w14:textId="77777777">
        <w:tc>
          <w:tcPr>
            <w:tcW w:w="3045" w:type="dxa"/>
          </w:tcPr>
          <w:p w14:paraId="68DBDBB1" w14:textId="77777777" w:rsidR="005F5EF5" w:rsidRPr="001E1482" w:rsidRDefault="005F5EF5" w:rsidP="005F5EF5">
            <w:pPr>
              <w:spacing w:before="240"/>
              <w:jc w:val="center"/>
              <w:rPr>
                <w:b/>
                <w:bCs/>
              </w:rPr>
            </w:pPr>
            <w:r w:rsidRPr="001E1482">
              <w:rPr>
                <w:b/>
                <w:bCs/>
              </w:rPr>
              <w:t>Heatherside &amp; Parkside</w:t>
            </w:r>
          </w:p>
        </w:tc>
        <w:tc>
          <w:tcPr>
            <w:tcW w:w="1321" w:type="dxa"/>
            <w:vAlign w:val="center"/>
          </w:tcPr>
          <w:p w14:paraId="5587FC2D" w14:textId="3CA13DE3" w:rsidR="005F5EF5" w:rsidRPr="006B741A" w:rsidRDefault="00323192" w:rsidP="005F5EF5">
            <w:pPr>
              <w:spacing w:before="240"/>
              <w:jc w:val="center"/>
            </w:pPr>
            <w:r w:rsidRPr="006B741A">
              <w:t>12,473</w:t>
            </w:r>
          </w:p>
        </w:tc>
        <w:tc>
          <w:tcPr>
            <w:tcW w:w="1280" w:type="dxa"/>
            <w:vAlign w:val="center"/>
          </w:tcPr>
          <w:p w14:paraId="5CE2333F" w14:textId="10CFFD1E" w:rsidR="005F5EF5" w:rsidRPr="006B741A" w:rsidRDefault="005F5EF5" w:rsidP="005F5EF5">
            <w:pPr>
              <w:spacing w:before="240"/>
              <w:jc w:val="center"/>
            </w:pPr>
            <w:r w:rsidRPr="006B741A">
              <w:rPr>
                <w:rFonts w:cs="Arial"/>
              </w:rPr>
              <w:t>5%</w:t>
            </w:r>
          </w:p>
        </w:tc>
        <w:tc>
          <w:tcPr>
            <w:tcW w:w="9233" w:type="dxa"/>
          </w:tcPr>
          <w:p w14:paraId="3D338A96" w14:textId="77777777" w:rsidR="005F5EF5" w:rsidRPr="00F847C2" w:rsidRDefault="005F5EF5" w:rsidP="005F5EF5">
            <w:pPr>
              <w:ind w:left="60"/>
              <w:rPr>
                <w:highlight w:val="yellow"/>
              </w:rPr>
            </w:pPr>
          </w:p>
          <w:p w14:paraId="1F5B10B5" w14:textId="73E4798F" w:rsidR="00E97E6F" w:rsidRDefault="004A4C93" w:rsidP="00E97E6F">
            <w:r>
              <w:t>Presently the division</w:t>
            </w:r>
            <w:r w:rsidR="00E57D52">
              <w:t xml:space="preserve"> is split by the M3, which goes against the criteria</w:t>
            </w:r>
            <w:r w:rsidR="00E4330E">
              <w:t xml:space="preserve"> of community identity and good and effective local government. </w:t>
            </w:r>
            <w:r w:rsidR="00A83693">
              <w:t>Therefore,</w:t>
            </w:r>
            <w:r w:rsidR="00E4330E">
              <w:t xml:space="preserve"> it is proposed </w:t>
            </w:r>
            <w:r w:rsidR="00A83693">
              <w:t>that northern boundary</w:t>
            </w:r>
            <w:r w:rsidR="00605739">
              <w:t xml:space="preserve"> be changed so that</w:t>
            </w:r>
            <w:r w:rsidR="00A83693">
              <w:t xml:space="preserve"> polling district EB </w:t>
            </w:r>
            <w:r w:rsidR="00161EB8">
              <w:t>is</w:t>
            </w:r>
            <w:r w:rsidR="00A83693">
              <w:t xml:space="preserve"> moved out</w:t>
            </w:r>
            <w:r w:rsidR="00605739">
              <w:t xml:space="preserve"> Camberley East </w:t>
            </w:r>
            <w:r w:rsidR="002C7FB1">
              <w:t>electoral division</w:t>
            </w:r>
            <w:r w:rsidR="001245EF">
              <w:t xml:space="preserve">. </w:t>
            </w:r>
            <w:r w:rsidR="00CC6CBF" w:rsidRPr="00CC6CBF">
              <w:t>This change w</w:t>
            </w:r>
            <w:r w:rsidR="00194C5B">
              <w:t>ould</w:t>
            </w:r>
            <w:r w:rsidR="00CC6CBF" w:rsidRPr="00CC6CBF">
              <w:t xml:space="preserve"> also be co-terminus with existing </w:t>
            </w:r>
            <w:r w:rsidR="002C7FB1">
              <w:t>b</w:t>
            </w:r>
            <w:r w:rsidR="00CC6CBF" w:rsidRPr="00CC6CBF">
              <w:t xml:space="preserve">orough </w:t>
            </w:r>
            <w:r w:rsidR="002C7FB1">
              <w:t>c</w:t>
            </w:r>
            <w:r w:rsidR="00CC6CBF" w:rsidRPr="00CC6CBF">
              <w:t>ouncil ward St Pauls.</w:t>
            </w:r>
          </w:p>
          <w:p w14:paraId="68B2BACF" w14:textId="77777777" w:rsidR="00661527" w:rsidRDefault="00661527" w:rsidP="00E97E6F"/>
          <w:p w14:paraId="6BC3F289" w14:textId="63F2C8FE" w:rsidR="00661527" w:rsidRDefault="00661527" w:rsidP="00E97E6F">
            <w:r w:rsidRPr="00661527">
              <w:t xml:space="preserve">The southern boundary of the </w:t>
            </w:r>
            <w:r w:rsidR="00123C58">
              <w:t>d</w:t>
            </w:r>
            <w:r w:rsidRPr="00661527">
              <w:t xml:space="preserve">ivision is the Old Bisley Road leading to the Upper Chobham Road and to the A325 – Portsmouth Road. The boundary then follows north-west to join the M3 again, with the grounds of Frimley Park Hospital sitting just outside the </w:t>
            </w:r>
            <w:r w:rsidR="00123C58">
              <w:t>d</w:t>
            </w:r>
            <w:r w:rsidRPr="00661527">
              <w:t>ivision to the west, and Bayfield Avenue.</w:t>
            </w:r>
            <w:r w:rsidR="00E65D3F">
              <w:t xml:space="preserve"> To address some concerns around electoral equality, it is suggested that part of </w:t>
            </w:r>
            <w:r w:rsidR="00DE6B21">
              <w:t>p</w:t>
            </w:r>
            <w:r w:rsidR="00E65D3F">
              <w:t xml:space="preserve">olling </w:t>
            </w:r>
            <w:r w:rsidR="00DE6B21">
              <w:t>d</w:t>
            </w:r>
            <w:r w:rsidR="00E65D3F">
              <w:t>istrict</w:t>
            </w:r>
            <w:r w:rsidR="00DE6B21">
              <w:t xml:space="preserve"> F be moved into the division from Camberley West</w:t>
            </w:r>
            <w:r w:rsidR="00E10E6B">
              <w:t xml:space="preserve">, </w:t>
            </w:r>
            <w:r w:rsidR="00E10E6B" w:rsidRPr="00E10E6B">
              <w:t xml:space="preserve">with the revised boundary to be along either the industrial estate or to </w:t>
            </w:r>
            <w:r w:rsidR="00123C58">
              <w:t xml:space="preserve">(and </w:t>
            </w:r>
            <w:r w:rsidR="00E10E6B" w:rsidRPr="00E10E6B">
              <w:t>including</w:t>
            </w:r>
            <w:r w:rsidR="00123C58">
              <w:t>)</w:t>
            </w:r>
            <w:r w:rsidR="00E10E6B" w:rsidRPr="00E10E6B">
              <w:t xml:space="preserve"> the entirety of sycamore drive (which will stay east) that meets the cricket club (which will stay west), down to and including Frimley Grove Gardens (which will be split between the </w:t>
            </w:r>
            <w:r w:rsidR="00123C58">
              <w:t>two</w:t>
            </w:r>
            <w:r w:rsidR="00E10E6B" w:rsidRPr="00E10E6B">
              <w:t xml:space="preserve"> divisions).</w:t>
            </w:r>
          </w:p>
          <w:p w14:paraId="68683D32" w14:textId="77777777" w:rsidR="00323192" w:rsidRDefault="00323192" w:rsidP="00E97E6F"/>
          <w:p w14:paraId="614EB35B" w14:textId="722106F0" w:rsidR="005F5EF5" w:rsidRDefault="00323192" w:rsidP="00E97E6F">
            <w:r w:rsidRPr="00323192">
              <w:t xml:space="preserve">The </w:t>
            </w:r>
            <w:r w:rsidR="00123C58">
              <w:t>d</w:t>
            </w:r>
            <w:r w:rsidRPr="00323192">
              <w:t xml:space="preserve">ivision includes the Heatherside development which is in itself a strong community centred around a shopping arcade, a junior school, a community centre/church and playing fields. Heatherside is linked by various roads and footpaths to Frimley Ridge, making it sensible to keep these areas in the same </w:t>
            </w:r>
            <w:r w:rsidR="00224083">
              <w:t>d</w:t>
            </w:r>
            <w:r w:rsidRPr="00323192">
              <w:t>ivision. This community also shares schools.</w:t>
            </w:r>
          </w:p>
          <w:p w14:paraId="74411105" w14:textId="708A508E" w:rsidR="005F5EF5" w:rsidRDefault="005F5EF5" w:rsidP="00E97E6F">
            <w:r w:rsidRPr="007E74C0">
              <w:t>The area of Parkside has good transport links with Heatherside and the two communities have well-established links and fit well together due to the M3 and B3015.</w:t>
            </w:r>
          </w:p>
          <w:p w14:paraId="43D19A32" w14:textId="1CD9974A" w:rsidR="005F5EF5" w:rsidRPr="00F847C2" w:rsidRDefault="005F5EF5" w:rsidP="004567CB">
            <w:pPr>
              <w:rPr>
                <w:highlight w:val="yellow"/>
              </w:rPr>
            </w:pPr>
          </w:p>
        </w:tc>
      </w:tr>
      <w:tr w:rsidR="001E1482" w14:paraId="1C31084C" w14:textId="77777777">
        <w:tc>
          <w:tcPr>
            <w:tcW w:w="3045" w:type="dxa"/>
          </w:tcPr>
          <w:p w14:paraId="587A746B" w14:textId="77777777" w:rsidR="001E1482" w:rsidRPr="001E1482" w:rsidRDefault="001E1482" w:rsidP="001E1482">
            <w:pPr>
              <w:spacing w:before="240"/>
              <w:jc w:val="center"/>
              <w:rPr>
                <w:b/>
                <w:bCs/>
              </w:rPr>
            </w:pPr>
            <w:r w:rsidRPr="001E1482">
              <w:rPr>
                <w:b/>
                <w:bCs/>
              </w:rPr>
              <w:t>Bagshot, Windlesham and Chobham</w:t>
            </w:r>
          </w:p>
        </w:tc>
        <w:tc>
          <w:tcPr>
            <w:tcW w:w="1321" w:type="dxa"/>
            <w:vAlign w:val="center"/>
          </w:tcPr>
          <w:p w14:paraId="6CD102F6" w14:textId="1EDEB81B" w:rsidR="001E1482" w:rsidRPr="006B741A" w:rsidRDefault="001E1482" w:rsidP="001E1482">
            <w:pPr>
              <w:spacing w:before="240"/>
              <w:jc w:val="center"/>
            </w:pPr>
            <w:r w:rsidRPr="006B741A">
              <w:rPr>
                <w:rFonts w:cs="Arial"/>
              </w:rPr>
              <w:t>12,035</w:t>
            </w:r>
          </w:p>
        </w:tc>
        <w:tc>
          <w:tcPr>
            <w:tcW w:w="1280" w:type="dxa"/>
            <w:vAlign w:val="center"/>
          </w:tcPr>
          <w:p w14:paraId="296B8C42" w14:textId="6422E4CE" w:rsidR="001E1482" w:rsidRPr="006B741A" w:rsidRDefault="001E1482" w:rsidP="001E1482">
            <w:pPr>
              <w:spacing w:before="240"/>
              <w:jc w:val="center"/>
            </w:pPr>
            <w:r w:rsidRPr="006B741A">
              <w:rPr>
                <w:rFonts w:cs="Arial"/>
              </w:rPr>
              <w:t>1%</w:t>
            </w:r>
          </w:p>
        </w:tc>
        <w:tc>
          <w:tcPr>
            <w:tcW w:w="9233" w:type="dxa"/>
          </w:tcPr>
          <w:p w14:paraId="2E9AE305" w14:textId="77777777" w:rsidR="001E1482" w:rsidRPr="00F847C2" w:rsidRDefault="001E1482" w:rsidP="001E1482">
            <w:pPr>
              <w:ind w:left="60"/>
              <w:rPr>
                <w:highlight w:val="yellow"/>
              </w:rPr>
            </w:pPr>
          </w:p>
          <w:p w14:paraId="77568F67" w14:textId="3644B203" w:rsidR="009629C3" w:rsidRDefault="009629C3" w:rsidP="00353F29">
            <w:pPr>
              <w:ind w:left="60"/>
            </w:pPr>
            <w:r>
              <w:t xml:space="preserve">There are no suggested changes to this </w:t>
            </w:r>
            <w:r w:rsidR="00224083">
              <w:t>d</w:t>
            </w:r>
            <w:r>
              <w:t xml:space="preserve">ivision. </w:t>
            </w:r>
          </w:p>
          <w:p w14:paraId="7590E121" w14:textId="77777777" w:rsidR="009629C3" w:rsidRDefault="009629C3" w:rsidP="00353F29">
            <w:pPr>
              <w:ind w:left="60"/>
            </w:pPr>
          </w:p>
          <w:p w14:paraId="2C2E3230" w14:textId="4EC84F23" w:rsidR="00353F29" w:rsidRDefault="00353F29" w:rsidP="00353F29">
            <w:pPr>
              <w:ind w:left="60"/>
            </w:pPr>
            <w:r>
              <w:t>The three villages of Bagshot, Windlesham and Chobham have identities very much based upon their own perception of being communities with a rural heritage going back as far as the Doomsday Book.</w:t>
            </w:r>
          </w:p>
          <w:p w14:paraId="1E70834C" w14:textId="77777777" w:rsidR="008C35D2" w:rsidRDefault="008C35D2" w:rsidP="00353F29">
            <w:pPr>
              <w:ind w:left="60"/>
            </w:pPr>
          </w:p>
          <w:p w14:paraId="03482FE3" w14:textId="0864E89F" w:rsidR="00353F29" w:rsidRDefault="00353F29" w:rsidP="00353F29">
            <w:pPr>
              <w:ind w:left="60"/>
            </w:pPr>
            <w:r>
              <w:t>Whilst being at different stages of urbanisation, this identity is based upon being surrounded by Swinley Forest in the west ,Windsor Great Park in the north and Chobham Common in the east. Open space is very important asset to them all. Each village has a vibrant centre, and a raft of strong local organisations providing social frameworks and support.</w:t>
            </w:r>
          </w:p>
          <w:p w14:paraId="3D87C22D" w14:textId="379889E0" w:rsidR="001E1482" w:rsidRDefault="001E1482" w:rsidP="009629C3"/>
        </w:tc>
      </w:tr>
    </w:tbl>
    <w:p w14:paraId="20181E2F" w14:textId="77777777" w:rsidR="008256AD" w:rsidRDefault="008256AD"/>
    <w:p w14:paraId="584AAAFE" w14:textId="77777777" w:rsidR="008256AD" w:rsidRDefault="008256AD"/>
    <w:p w14:paraId="438EBBC6" w14:textId="77777777" w:rsidR="008256AD" w:rsidRDefault="008256AD">
      <w:pPr>
        <w:pStyle w:val="Heading1"/>
        <w:numPr>
          <w:ilvl w:val="0"/>
          <w:numId w:val="0"/>
        </w:numPr>
      </w:pPr>
      <w:r>
        <w:br w:type="page"/>
        <w:t>Tandridge</w:t>
      </w:r>
    </w:p>
    <w:p w14:paraId="55C66B2D" w14:textId="77777777" w:rsidR="008256AD" w:rsidRDefault="008256AD"/>
    <w:p w14:paraId="07A1BA8C" w14:textId="5031E158" w:rsidR="008256AD" w:rsidRDefault="00257236">
      <w:r w:rsidRPr="00257236">
        <w:t>For Tandridge, the proposal is for six divisions representing an electorate of</w:t>
      </w:r>
      <w:r w:rsidR="00CC73AE">
        <w:t xml:space="preserve"> </w:t>
      </w:r>
      <w:r w:rsidRPr="00257236">
        <w:t>70,760. This would equate to an average electorate size for each division of 11,793.</w:t>
      </w:r>
      <w:r w:rsidR="00D908E7">
        <w:t xml:space="preserve"> </w:t>
      </w:r>
      <w:r w:rsidR="00540450">
        <w:t xml:space="preserve">Two different options have been put forward </w:t>
      </w:r>
      <w:r w:rsidR="00510B8E">
        <w:t xml:space="preserve">for Tandridge, as it was felt both </w:t>
      </w:r>
      <w:r w:rsidR="000B4D31">
        <w:t xml:space="preserve">largely </w:t>
      </w:r>
      <w:r w:rsidR="00510B8E">
        <w:t>met the Commission’s criteria.</w:t>
      </w:r>
    </w:p>
    <w:p w14:paraId="5C660458" w14:textId="77777777" w:rsidR="00CC73AE" w:rsidRDefault="00CC73AE"/>
    <w:p w14:paraId="627E517E" w14:textId="77777777" w:rsidR="008256AD" w:rsidRDefault="008256AD"/>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1321"/>
        <w:gridCol w:w="1280"/>
        <w:gridCol w:w="9517"/>
      </w:tblGrid>
      <w:tr w:rsidR="003F67AB" w:rsidRPr="00F847C2" w14:paraId="6CAB1403" w14:textId="77777777" w:rsidTr="003F67AB">
        <w:tc>
          <w:tcPr>
            <w:tcW w:w="3045" w:type="dxa"/>
          </w:tcPr>
          <w:p w14:paraId="2309374D" w14:textId="77777777" w:rsidR="003F67AB" w:rsidRPr="00F14896" w:rsidRDefault="003F67AB">
            <w:pPr>
              <w:pStyle w:val="Heading4"/>
              <w:numPr>
                <w:ilvl w:val="0"/>
                <w:numId w:val="0"/>
              </w:numPr>
              <w:spacing w:before="120"/>
              <w:jc w:val="center"/>
              <w:rPr>
                <w:b/>
                <w:bCs/>
                <w:i w:val="0"/>
                <w:iCs w:val="0"/>
              </w:rPr>
            </w:pPr>
            <w:r w:rsidRPr="00F14896">
              <w:rPr>
                <w:b/>
                <w:bCs/>
                <w:i w:val="0"/>
                <w:iCs w:val="0"/>
              </w:rPr>
              <w:t>Division Name</w:t>
            </w:r>
          </w:p>
        </w:tc>
        <w:tc>
          <w:tcPr>
            <w:tcW w:w="1321" w:type="dxa"/>
          </w:tcPr>
          <w:p w14:paraId="339B475C" w14:textId="2DD0AA31" w:rsidR="003F67AB" w:rsidRPr="00F14896" w:rsidRDefault="003F67AB">
            <w:pPr>
              <w:spacing w:before="120"/>
              <w:jc w:val="center"/>
              <w:rPr>
                <w:b/>
                <w:bCs/>
              </w:rPr>
            </w:pPr>
            <w:r w:rsidRPr="00F14896">
              <w:rPr>
                <w:b/>
                <w:bCs/>
              </w:rPr>
              <w:t>20</w:t>
            </w:r>
            <w:r w:rsidR="00F14896" w:rsidRPr="00F14896">
              <w:rPr>
                <w:b/>
                <w:bCs/>
              </w:rPr>
              <w:t>29</w:t>
            </w:r>
            <w:r w:rsidRPr="00F14896">
              <w:rPr>
                <w:b/>
                <w:bCs/>
              </w:rPr>
              <w:t xml:space="preserve"> Forecast Electorate</w:t>
            </w:r>
          </w:p>
        </w:tc>
        <w:tc>
          <w:tcPr>
            <w:tcW w:w="1280" w:type="dxa"/>
          </w:tcPr>
          <w:p w14:paraId="670D6BB6" w14:textId="73CE07CB" w:rsidR="003F67AB" w:rsidRPr="00F14896" w:rsidRDefault="003F67AB">
            <w:pPr>
              <w:spacing w:before="120"/>
              <w:jc w:val="center"/>
              <w:rPr>
                <w:b/>
                <w:bCs/>
              </w:rPr>
            </w:pPr>
            <w:r w:rsidRPr="00F14896">
              <w:rPr>
                <w:b/>
                <w:bCs/>
              </w:rPr>
              <w:t>20</w:t>
            </w:r>
            <w:r w:rsidR="00F14896" w:rsidRPr="00F14896">
              <w:rPr>
                <w:b/>
                <w:bCs/>
              </w:rPr>
              <w:t>29</w:t>
            </w:r>
            <w:r w:rsidRPr="00F14896">
              <w:rPr>
                <w:b/>
                <w:bCs/>
              </w:rPr>
              <w:t xml:space="preserve"> Forecast Electorate Variance</w:t>
            </w:r>
          </w:p>
        </w:tc>
        <w:tc>
          <w:tcPr>
            <w:tcW w:w="9517" w:type="dxa"/>
          </w:tcPr>
          <w:p w14:paraId="176A8633" w14:textId="77777777" w:rsidR="003F67AB" w:rsidRPr="00F14896" w:rsidRDefault="003F67AB">
            <w:pPr>
              <w:spacing w:before="120"/>
              <w:jc w:val="center"/>
              <w:rPr>
                <w:b/>
                <w:bCs/>
              </w:rPr>
            </w:pPr>
            <w:r w:rsidRPr="00F14896">
              <w:rPr>
                <w:b/>
                <w:bCs/>
              </w:rPr>
              <w:t>Evidence and Rationale that the proposals meet the statutory criteria</w:t>
            </w:r>
          </w:p>
        </w:tc>
      </w:tr>
      <w:tr w:rsidR="005145BA" w:rsidRPr="00F847C2" w14:paraId="7886646A" w14:textId="77777777">
        <w:tc>
          <w:tcPr>
            <w:tcW w:w="3045" w:type="dxa"/>
          </w:tcPr>
          <w:p w14:paraId="7A2BADD9" w14:textId="77777777" w:rsidR="005145BA" w:rsidRPr="001C5A95" w:rsidRDefault="005145BA" w:rsidP="005145BA">
            <w:pPr>
              <w:spacing w:before="240"/>
              <w:jc w:val="center"/>
              <w:rPr>
                <w:b/>
                <w:bCs/>
              </w:rPr>
            </w:pPr>
            <w:r w:rsidRPr="001C5A95">
              <w:rPr>
                <w:b/>
                <w:bCs/>
              </w:rPr>
              <w:t>Caterham Hill</w:t>
            </w:r>
          </w:p>
        </w:tc>
        <w:tc>
          <w:tcPr>
            <w:tcW w:w="1321" w:type="dxa"/>
            <w:vAlign w:val="center"/>
          </w:tcPr>
          <w:p w14:paraId="78B95A49" w14:textId="0FE4272D" w:rsidR="005145BA" w:rsidRPr="00F847C2" w:rsidRDefault="005145BA" w:rsidP="005145BA">
            <w:pPr>
              <w:spacing w:before="240"/>
              <w:jc w:val="center"/>
              <w:rPr>
                <w:highlight w:val="yellow"/>
              </w:rPr>
            </w:pPr>
            <w:r>
              <w:rPr>
                <w:rFonts w:cs="Arial"/>
              </w:rPr>
              <w:t>12,120</w:t>
            </w:r>
          </w:p>
        </w:tc>
        <w:tc>
          <w:tcPr>
            <w:tcW w:w="1280" w:type="dxa"/>
            <w:vAlign w:val="center"/>
          </w:tcPr>
          <w:p w14:paraId="79C9977B" w14:textId="577D217F" w:rsidR="005145BA" w:rsidRPr="00F847C2" w:rsidRDefault="005145BA" w:rsidP="005145BA">
            <w:pPr>
              <w:spacing w:before="240"/>
              <w:jc w:val="center"/>
              <w:rPr>
                <w:highlight w:val="yellow"/>
              </w:rPr>
            </w:pPr>
            <w:r>
              <w:rPr>
                <w:rFonts w:cs="Arial"/>
              </w:rPr>
              <w:t>2%</w:t>
            </w:r>
          </w:p>
        </w:tc>
        <w:tc>
          <w:tcPr>
            <w:tcW w:w="9517" w:type="dxa"/>
          </w:tcPr>
          <w:p w14:paraId="3A0FB979" w14:textId="77777777" w:rsidR="005145BA" w:rsidRPr="00F847C2" w:rsidRDefault="005145BA" w:rsidP="005145BA">
            <w:pPr>
              <w:ind w:left="60"/>
              <w:rPr>
                <w:highlight w:val="yellow"/>
              </w:rPr>
            </w:pPr>
          </w:p>
          <w:p w14:paraId="0E817016" w14:textId="1203E78B" w:rsidR="00660DB7" w:rsidRPr="00A759A3" w:rsidRDefault="00660DB7" w:rsidP="005145BA">
            <w:pPr>
              <w:rPr>
                <w:rFonts w:cs="Arial"/>
              </w:rPr>
            </w:pPr>
            <w:r w:rsidRPr="00A759A3">
              <w:rPr>
                <w:rFonts w:cs="Arial"/>
              </w:rPr>
              <w:t xml:space="preserve">There are no suggested changes to this </w:t>
            </w:r>
            <w:r w:rsidR="00224083">
              <w:rPr>
                <w:rFonts w:cs="Arial"/>
              </w:rPr>
              <w:t>d</w:t>
            </w:r>
            <w:r w:rsidRPr="00A759A3">
              <w:rPr>
                <w:rFonts w:cs="Arial"/>
              </w:rPr>
              <w:t xml:space="preserve">ivision. </w:t>
            </w:r>
          </w:p>
          <w:p w14:paraId="5144D558" w14:textId="77777777" w:rsidR="00660DB7" w:rsidRPr="00A759A3" w:rsidRDefault="00660DB7" w:rsidP="005145BA">
            <w:pPr>
              <w:rPr>
                <w:rFonts w:cs="Arial"/>
              </w:rPr>
            </w:pPr>
          </w:p>
          <w:p w14:paraId="084B3C90" w14:textId="3A8C1BC8" w:rsidR="005145BA" w:rsidRPr="00A759A3" w:rsidRDefault="005145BA" w:rsidP="005145BA">
            <w:pPr>
              <w:rPr>
                <w:rFonts w:cs="Arial"/>
              </w:rPr>
            </w:pPr>
            <w:r w:rsidRPr="00A759A3">
              <w:rPr>
                <w:rFonts w:cs="Arial"/>
              </w:rPr>
              <w:t xml:space="preserve">The </w:t>
            </w:r>
            <w:r w:rsidR="00224083">
              <w:rPr>
                <w:rFonts w:cs="Arial"/>
              </w:rPr>
              <w:t>d</w:t>
            </w:r>
            <w:r w:rsidRPr="00A759A3">
              <w:rPr>
                <w:rFonts w:cs="Arial"/>
              </w:rPr>
              <w:t xml:space="preserve">ivision of Caterham Hill includes the two parishes of Chaldon and Caterham-on-the-Hill.   The western boundary of the </w:t>
            </w:r>
            <w:r w:rsidR="004216AC">
              <w:rPr>
                <w:rFonts w:cs="Arial"/>
              </w:rPr>
              <w:t>d</w:t>
            </w:r>
            <w:r w:rsidRPr="00A759A3">
              <w:rPr>
                <w:rFonts w:cs="Arial"/>
              </w:rPr>
              <w:t xml:space="preserve">ivision follows the County Border and border with Reigate &amp; Banstead, while the south and eastern boundaries follow the parish lines.  </w:t>
            </w:r>
          </w:p>
          <w:p w14:paraId="495F1F7A" w14:textId="77777777" w:rsidR="005145BA" w:rsidRPr="00A759A3" w:rsidRDefault="005145BA" w:rsidP="005145BA">
            <w:pPr>
              <w:rPr>
                <w:rFonts w:cs="Arial"/>
              </w:rPr>
            </w:pPr>
          </w:p>
          <w:p w14:paraId="17C90884" w14:textId="46652766" w:rsidR="005145BA" w:rsidRDefault="005145BA" w:rsidP="000740C6">
            <w:pPr>
              <w:pStyle w:val="BodyText"/>
              <w:jc w:val="left"/>
              <w:rPr>
                <w:b w:val="0"/>
                <w:bCs w:val="0"/>
                <w:sz w:val="22"/>
              </w:rPr>
            </w:pPr>
            <w:r w:rsidRPr="00A759A3">
              <w:rPr>
                <w:b w:val="0"/>
                <w:bCs w:val="0"/>
                <w:sz w:val="22"/>
              </w:rPr>
              <w:t xml:space="preserve">The Surrey Hills make a distinct natural boundary along the southern escarpment, which goes along the Bletchingley Parish boundary. </w:t>
            </w:r>
            <w:r w:rsidR="00BE37D7">
              <w:rPr>
                <w:b w:val="0"/>
                <w:bCs w:val="0"/>
                <w:sz w:val="22"/>
              </w:rPr>
              <w:t>Catherham Hill and Catherham Valley both have strong and distinct community identities.</w:t>
            </w:r>
          </w:p>
          <w:p w14:paraId="202CFA2D" w14:textId="122B0770" w:rsidR="00A759A3" w:rsidRPr="00F847C2" w:rsidRDefault="00A759A3" w:rsidP="000740C6">
            <w:pPr>
              <w:pStyle w:val="BodyText"/>
              <w:jc w:val="left"/>
              <w:rPr>
                <w:highlight w:val="yellow"/>
              </w:rPr>
            </w:pPr>
          </w:p>
        </w:tc>
      </w:tr>
      <w:tr w:rsidR="005145BA" w:rsidRPr="00F847C2" w14:paraId="69AF533D" w14:textId="77777777">
        <w:tc>
          <w:tcPr>
            <w:tcW w:w="3045" w:type="dxa"/>
          </w:tcPr>
          <w:p w14:paraId="56C72F11" w14:textId="77777777" w:rsidR="005145BA" w:rsidRPr="001C5A95" w:rsidRDefault="005145BA" w:rsidP="005145BA">
            <w:pPr>
              <w:spacing w:before="240"/>
              <w:jc w:val="center"/>
              <w:rPr>
                <w:b/>
                <w:bCs/>
              </w:rPr>
            </w:pPr>
            <w:r w:rsidRPr="001C5A95">
              <w:rPr>
                <w:b/>
                <w:bCs/>
              </w:rPr>
              <w:t>Caterham Valley</w:t>
            </w:r>
          </w:p>
        </w:tc>
        <w:tc>
          <w:tcPr>
            <w:tcW w:w="1321" w:type="dxa"/>
            <w:vAlign w:val="center"/>
          </w:tcPr>
          <w:p w14:paraId="3265830E" w14:textId="2F092996" w:rsidR="005145BA" w:rsidRPr="00F847C2" w:rsidRDefault="005145BA" w:rsidP="005145BA">
            <w:pPr>
              <w:spacing w:before="240"/>
              <w:jc w:val="center"/>
              <w:rPr>
                <w:highlight w:val="yellow"/>
              </w:rPr>
            </w:pPr>
            <w:r>
              <w:rPr>
                <w:rFonts w:cs="Arial"/>
              </w:rPr>
              <w:t>10,459</w:t>
            </w:r>
          </w:p>
        </w:tc>
        <w:tc>
          <w:tcPr>
            <w:tcW w:w="1280" w:type="dxa"/>
            <w:vAlign w:val="center"/>
          </w:tcPr>
          <w:p w14:paraId="7B618ECB" w14:textId="7DC084D7" w:rsidR="005145BA" w:rsidRPr="00F847C2" w:rsidRDefault="005145BA" w:rsidP="005145BA">
            <w:pPr>
              <w:spacing w:before="240"/>
              <w:jc w:val="center"/>
              <w:rPr>
                <w:highlight w:val="yellow"/>
              </w:rPr>
            </w:pPr>
            <w:r>
              <w:rPr>
                <w:rFonts w:cs="Arial"/>
              </w:rPr>
              <w:t>-12%</w:t>
            </w:r>
          </w:p>
        </w:tc>
        <w:tc>
          <w:tcPr>
            <w:tcW w:w="9517" w:type="dxa"/>
          </w:tcPr>
          <w:p w14:paraId="40F1B3ED" w14:textId="77777777" w:rsidR="005145BA" w:rsidRPr="00F847C2" w:rsidRDefault="005145BA" w:rsidP="005145BA">
            <w:pPr>
              <w:ind w:left="60"/>
              <w:rPr>
                <w:highlight w:val="yellow"/>
              </w:rPr>
            </w:pPr>
          </w:p>
          <w:p w14:paraId="779408F6" w14:textId="36CB207D" w:rsidR="00AB4FC0" w:rsidRPr="00AB4FC0" w:rsidRDefault="00AB4FC0" w:rsidP="005145BA">
            <w:pPr>
              <w:ind w:left="60"/>
              <w:rPr>
                <w:rFonts w:cs="Arial"/>
              </w:rPr>
            </w:pPr>
            <w:r w:rsidRPr="00AB4FC0">
              <w:rPr>
                <w:rFonts w:cs="Arial"/>
              </w:rPr>
              <w:t xml:space="preserve">There are no suggested changes to this </w:t>
            </w:r>
            <w:r w:rsidR="00D908E7">
              <w:rPr>
                <w:rFonts w:cs="Arial"/>
              </w:rPr>
              <w:t>d</w:t>
            </w:r>
            <w:r w:rsidRPr="00AB4FC0">
              <w:rPr>
                <w:rFonts w:cs="Arial"/>
              </w:rPr>
              <w:t>ivision.</w:t>
            </w:r>
          </w:p>
          <w:p w14:paraId="068AD64D" w14:textId="77777777" w:rsidR="00AB4FC0" w:rsidRPr="00AB4FC0" w:rsidRDefault="00AB4FC0" w:rsidP="005145BA">
            <w:pPr>
              <w:ind w:left="60"/>
              <w:rPr>
                <w:rFonts w:cs="Arial"/>
              </w:rPr>
            </w:pPr>
          </w:p>
          <w:p w14:paraId="13905248" w14:textId="7FE99F84" w:rsidR="005145BA" w:rsidRPr="00AB4FC0" w:rsidRDefault="005145BA" w:rsidP="005145BA">
            <w:pPr>
              <w:ind w:left="60"/>
              <w:rPr>
                <w:rFonts w:cs="Arial"/>
              </w:rPr>
            </w:pPr>
            <w:r w:rsidRPr="00AB4FC0">
              <w:rPr>
                <w:rFonts w:cs="Arial"/>
              </w:rPr>
              <w:t xml:space="preserve">The </w:t>
            </w:r>
            <w:r w:rsidR="00D908E7">
              <w:rPr>
                <w:rFonts w:cs="Arial"/>
              </w:rPr>
              <w:t>d</w:t>
            </w:r>
            <w:r w:rsidRPr="00AB4FC0">
              <w:rPr>
                <w:rFonts w:cs="Arial"/>
              </w:rPr>
              <w:t xml:space="preserve">ivision of Caterham Valley includes the parishes of Caterham Valley and Whyteleafe, both located within the valley.  </w:t>
            </w:r>
          </w:p>
          <w:p w14:paraId="5561CBC1" w14:textId="1193B046" w:rsidR="005145BA" w:rsidRPr="00AB4FC0" w:rsidRDefault="005145BA" w:rsidP="005145BA">
            <w:pPr>
              <w:pStyle w:val="BodyTextIndent"/>
              <w:overflowPunct/>
              <w:ind w:left="0" w:firstLine="0"/>
            </w:pPr>
          </w:p>
          <w:p w14:paraId="23D2937E" w14:textId="415D2C3D" w:rsidR="005145BA" w:rsidRPr="00AB4FC0" w:rsidRDefault="005145BA" w:rsidP="005145BA">
            <w:pPr>
              <w:ind w:left="60"/>
              <w:rPr>
                <w:rFonts w:cs="Arial"/>
              </w:rPr>
            </w:pPr>
            <w:r w:rsidRPr="00AB4FC0">
              <w:rPr>
                <w:rFonts w:cs="Arial"/>
              </w:rPr>
              <w:t xml:space="preserve">In terms of the boundaries, the </w:t>
            </w:r>
            <w:r w:rsidR="00D908E7">
              <w:rPr>
                <w:rFonts w:cs="Arial"/>
              </w:rPr>
              <w:t>d</w:t>
            </w:r>
            <w:r w:rsidRPr="00AB4FC0">
              <w:rPr>
                <w:rFonts w:cs="Arial"/>
              </w:rPr>
              <w:t xml:space="preserve">ivision follows the County border to the north and parish boundaries.  It is recognised that the </w:t>
            </w:r>
            <w:r w:rsidR="00D908E7">
              <w:rPr>
                <w:rFonts w:cs="Arial"/>
              </w:rPr>
              <w:t>d</w:t>
            </w:r>
            <w:r w:rsidRPr="00AB4FC0">
              <w:rPr>
                <w:rFonts w:cs="Arial"/>
              </w:rPr>
              <w:t>ivision is small in terms of electoral equality but</w:t>
            </w:r>
            <w:r w:rsidR="00700A9C" w:rsidRPr="00AB4FC0">
              <w:rPr>
                <w:rFonts w:cs="Arial"/>
              </w:rPr>
              <w:t xml:space="preserve"> </w:t>
            </w:r>
            <w:r w:rsidRPr="00AB4FC0">
              <w:rPr>
                <w:rFonts w:cs="Arial"/>
              </w:rPr>
              <w:t>is not possible to resolve this without</w:t>
            </w:r>
            <w:r w:rsidR="00EB7A3B" w:rsidRPr="00AB4FC0">
              <w:rPr>
                <w:rFonts w:cs="Arial"/>
              </w:rPr>
              <w:t xml:space="preserve"> either splitting parishes and/or</w:t>
            </w:r>
            <w:r w:rsidRPr="00AB4FC0">
              <w:rPr>
                <w:rFonts w:cs="Arial"/>
              </w:rPr>
              <w:t xml:space="preserve"> adversely impacting on one of the bordering divisions</w:t>
            </w:r>
            <w:r w:rsidR="00EB7A3B" w:rsidRPr="00AB4FC0">
              <w:rPr>
                <w:rFonts w:cs="Arial"/>
              </w:rPr>
              <w:t>.</w:t>
            </w:r>
            <w:r w:rsidRPr="00AB4FC0">
              <w:rPr>
                <w:rFonts w:cs="Arial"/>
              </w:rPr>
              <w:t xml:space="preserve"> </w:t>
            </w:r>
          </w:p>
          <w:p w14:paraId="6070FD39" w14:textId="77777777" w:rsidR="005145BA" w:rsidRPr="00F847C2" w:rsidRDefault="005145BA" w:rsidP="005145BA">
            <w:pPr>
              <w:ind w:left="60"/>
              <w:rPr>
                <w:highlight w:val="yellow"/>
              </w:rPr>
            </w:pPr>
          </w:p>
        </w:tc>
      </w:tr>
      <w:tr w:rsidR="005145BA" w:rsidRPr="00F847C2" w14:paraId="46F4ABF1" w14:textId="77777777">
        <w:tc>
          <w:tcPr>
            <w:tcW w:w="3045" w:type="dxa"/>
          </w:tcPr>
          <w:p w14:paraId="06193BB5" w14:textId="77777777" w:rsidR="005145BA" w:rsidRPr="001C5A95" w:rsidRDefault="005145BA" w:rsidP="005145BA">
            <w:pPr>
              <w:spacing w:before="240"/>
              <w:jc w:val="center"/>
              <w:rPr>
                <w:b/>
                <w:bCs/>
              </w:rPr>
            </w:pPr>
            <w:r w:rsidRPr="001C5A95">
              <w:rPr>
                <w:b/>
                <w:bCs/>
              </w:rPr>
              <w:t>Godstone</w:t>
            </w:r>
          </w:p>
        </w:tc>
        <w:tc>
          <w:tcPr>
            <w:tcW w:w="1321" w:type="dxa"/>
            <w:vAlign w:val="center"/>
          </w:tcPr>
          <w:p w14:paraId="26A5D283" w14:textId="77777777" w:rsidR="005145BA" w:rsidRPr="0036440F" w:rsidRDefault="00353292" w:rsidP="005145BA">
            <w:pPr>
              <w:spacing w:before="240"/>
              <w:jc w:val="center"/>
            </w:pPr>
            <w:r w:rsidRPr="0036440F">
              <w:t xml:space="preserve">A: </w:t>
            </w:r>
            <w:r w:rsidR="00BA6A8F" w:rsidRPr="0036440F">
              <w:t>11,152</w:t>
            </w:r>
          </w:p>
          <w:p w14:paraId="38684128" w14:textId="77777777" w:rsidR="00DA0A5B" w:rsidRPr="0036440F" w:rsidRDefault="00DA0A5B" w:rsidP="005145BA">
            <w:pPr>
              <w:spacing w:before="240"/>
              <w:jc w:val="center"/>
            </w:pPr>
          </w:p>
          <w:p w14:paraId="11143B7D" w14:textId="50971FE5" w:rsidR="005145BA" w:rsidRPr="0036440F" w:rsidRDefault="00DA0A5B" w:rsidP="005145BA">
            <w:pPr>
              <w:spacing w:before="240"/>
              <w:jc w:val="center"/>
            </w:pPr>
            <w:r w:rsidRPr="0036440F">
              <w:t xml:space="preserve">B: </w:t>
            </w:r>
            <w:r w:rsidR="00522A08" w:rsidRPr="0036440F">
              <w:t>10, 738</w:t>
            </w:r>
          </w:p>
        </w:tc>
        <w:tc>
          <w:tcPr>
            <w:tcW w:w="1280" w:type="dxa"/>
            <w:vAlign w:val="center"/>
          </w:tcPr>
          <w:p w14:paraId="25422D47" w14:textId="77777777" w:rsidR="005145BA" w:rsidRPr="0036440F" w:rsidRDefault="00522A08" w:rsidP="00522A08">
            <w:pPr>
              <w:spacing w:before="240"/>
              <w:jc w:val="center"/>
            </w:pPr>
            <w:r w:rsidRPr="0036440F">
              <w:t>6</w:t>
            </w:r>
            <w:r w:rsidR="00BA6A8F" w:rsidRPr="0036440F">
              <w:t>%</w:t>
            </w:r>
          </w:p>
          <w:p w14:paraId="1B47DA9C" w14:textId="77777777" w:rsidR="00522A08" w:rsidRPr="0036440F" w:rsidRDefault="00522A08" w:rsidP="00522A08">
            <w:pPr>
              <w:spacing w:before="240"/>
              <w:jc w:val="center"/>
            </w:pPr>
          </w:p>
          <w:p w14:paraId="503AEEBE" w14:textId="17A866F9" w:rsidR="005145BA" w:rsidRPr="0036440F" w:rsidRDefault="006F3574" w:rsidP="005145BA">
            <w:pPr>
              <w:spacing w:before="240"/>
              <w:jc w:val="center"/>
            </w:pPr>
            <w:r w:rsidRPr="0036440F">
              <w:t>10</w:t>
            </w:r>
            <w:r w:rsidR="005145BA" w:rsidRPr="0036440F">
              <w:t>%</w:t>
            </w:r>
          </w:p>
        </w:tc>
        <w:tc>
          <w:tcPr>
            <w:tcW w:w="9517" w:type="dxa"/>
          </w:tcPr>
          <w:p w14:paraId="311D6C81" w14:textId="77777777" w:rsidR="005145BA" w:rsidRPr="00D908E7" w:rsidRDefault="005145BA" w:rsidP="005145BA">
            <w:pPr>
              <w:ind w:left="60"/>
              <w:rPr>
                <w:rFonts w:cs="Arial"/>
              </w:rPr>
            </w:pPr>
          </w:p>
          <w:p w14:paraId="32DF977D" w14:textId="77777777" w:rsidR="006B2814" w:rsidRDefault="006B2814" w:rsidP="006B2814">
            <w:pPr>
              <w:pStyle w:val="BodyTextIndent3"/>
              <w:ind w:left="0" w:firstLine="0"/>
            </w:pPr>
            <w:r>
              <w:t>Godstone has a large geographical area with the population mostly clustered in villages along the A25 and A22.  It is fully parished and the parish councils are extremely active.</w:t>
            </w:r>
          </w:p>
          <w:p w14:paraId="3FA56840" w14:textId="77777777" w:rsidR="006B2814" w:rsidRDefault="006B2814" w:rsidP="00353292">
            <w:pPr>
              <w:ind w:left="60"/>
            </w:pPr>
          </w:p>
          <w:p w14:paraId="73879156" w14:textId="77777777" w:rsidR="006B2814" w:rsidRDefault="006B2814" w:rsidP="00353292">
            <w:pPr>
              <w:ind w:left="60"/>
            </w:pPr>
          </w:p>
          <w:p w14:paraId="17A7A066" w14:textId="479D2B01" w:rsidR="000A66F2" w:rsidRPr="00D908E7" w:rsidRDefault="00353292" w:rsidP="006B2814">
            <w:r w:rsidRPr="00D908E7">
              <w:t>There are two suggested options to address the electoral variance in Godstone.</w:t>
            </w:r>
          </w:p>
          <w:p w14:paraId="67735F19" w14:textId="50142044" w:rsidR="00353292" w:rsidRPr="00D908E7" w:rsidRDefault="00353292" w:rsidP="00353292">
            <w:pPr>
              <w:ind w:left="60"/>
            </w:pPr>
          </w:p>
          <w:p w14:paraId="2F26B6E8" w14:textId="24D1EA24" w:rsidR="00353292" w:rsidRPr="00D908E7" w:rsidRDefault="00353292" w:rsidP="00353292">
            <w:pPr>
              <w:ind w:left="60"/>
            </w:pPr>
            <w:r w:rsidRPr="00D908E7">
              <w:t>In Option A</w:t>
            </w:r>
            <w:r w:rsidR="00BA6A8F" w:rsidRPr="00D908E7">
              <w:t xml:space="preserve">, </w:t>
            </w:r>
            <w:r w:rsidR="003569A4" w:rsidRPr="00D908E7">
              <w:t xml:space="preserve">the Parish of Horne (Polling </w:t>
            </w:r>
            <w:r w:rsidR="00D908E7">
              <w:t>d</w:t>
            </w:r>
            <w:r w:rsidR="003569A4" w:rsidRPr="00D908E7">
              <w:t xml:space="preserve">istrict BB) is moved from Lingfield into Godstone. </w:t>
            </w:r>
          </w:p>
          <w:p w14:paraId="536D100D" w14:textId="1A0DB42B" w:rsidR="00DA0A5B" w:rsidRPr="00D908E7" w:rsidRDefault="00DA0A5B" w:rsidP="00353292">
            <w:pPr>
              <w:ind w:left="60"/>
            </w:pPr>
          </w:p>
          <w:p w14:paraId="1AC58940" w14:textId="092055B0" w:rsidR="00DA0A5B" w:rsidRDefault="00DA0A5B" w:rsidP="00353292">
            <w:pPr>
              <w:ind w:left="60"/>
              <w:rPr>
                <w:highlight w:val="yellow"/>
              </w:rPr>
            </w:pPr>
            <w:r w:rsidRPr="00D908E7">
              <w:t xml:space="preserve">In </w:t>
            </w:r>
            <w:r w:rsidRPr="00D908E7">
              <w:rPr>
                <w:szCs w:val="22"/>
              </w:rPr>
              <w:t xml:space="preserve">Option B, </w:t>
            </w:r>
            <w:r w:rsidR="001707BD" w:rsidRPr="00D908E7">
              <w:rPr>
                <w:rFonts w:eastAsia="+mn-ea"/>
                <w:color w:val="000000"/>
                <w:kern w:val="24"/>
                <w:szCs w:val="22"/>
              </w:rPr>
              <w:t>Tandridge Parish</w:t>
            </w:r>
            <w:r w:rsidR="00D30E39" w:rsidRPr="00D908E7">
              <w:rPr>
                <w:rFonts w:eastAsia="+mn-ea"/>
                <w:color w:val="000000"/>
                <w:kern w:val="24"/>
                <w:szCs w:val="22"/>
              </w:rPr>
              <w:t xml:space="preserve"> is split</w:t>
            </w:r>
            <w:r w:rsidR="001707BD" w:rsidRPr="00D908E7">
              <w:rPr>
                <w:rFonts w:eastAsia="+mn-ea"/>
                <w:color w:val="000000"/>
                <w:kern w:val="24"/>
                <w:szCs w:val="22"/>
              </w:rPr>
              <w:t xml:space="preserve"> south of Crowhurst Lane End (Polling </w:t>
            </w:r>
            <w:r w:rsidR="00D908E7">
              <w:rPr>
                <w:rFonts w:eastAsia="+mn-ea"/>
                <w:color w:val="000000"/>
                <w:kern w:val="24"/>
                <w:szCs w:val="22"/>
              </w:rPr>
              <w:t>d</w:t>
            </w:r>
            <w:r w:rsidR="001707BD" w:rsidRPr="00D908E7">
              <w:rPr>
                <w:rFonts w:eastAsia="+mn-ea"/>
                <w:color w:val="000000"/>
                <w:kern w:val="24"/>
                <w:szCs w:val="22"/>
              </w:rPr>
              <w:t xml:space="preserve">istrict LB) from Oxted to Godstone and moving the whole of Crowhurst Parish (Polling </w:t>
            </w:r>
            <w:r w:rsidR="00D908E7">
              <w:rPr>
                <w:rFonts w:eastAsia="+mn-ea"/>
                <w:color w:val="000000"/>
                <w:kern w:val="24"/>
                <w:szCs w:val="22"/>
              </w:rPr>
              <w:t>d</w:t>
            </w:r>
            <w:r w:rsidR="001707BD" w:rsidRPr="00D908E7">
              <w:rPr>
                <w:rFonts w:eastAsia="+mn-ea"/>
                <w:color w:val="000000"/>
                <w:kern w:val="24"/>
                <w:szCs w:val="22"/>
              </w:rPr>
              <w:t>istrict JB) from Lingfield to Godstone</w:t>
            </w:r>
            <w:r w:rsidR="00D30E39" w:rsidRPr="00D30E39">
              <w:rPr>
                <w:rFonts w:eastAsia="+mn-ea"/>
                <w:color w:val="000000"/>
                <w:kern w:val="24"/>
                <w:szCs w:val="22"/>
              </w:rPr>
              <w:t>.</w:t>
            </w:r>
          </w:p>
          <w:p w14:paraId="29A55683" w14:textId="14C128E6" w:rsidR="000A66F2" w:rsidRPr="00F847C2" w:rsidRDefault="000A66F2" w:rsidP="0036440F">
            <w:pPr>
              <w:rPr>
                <w:highlight w:val="yellow"/>
              </w:rPr>
            </w:pPr>
          </w:p>
        </w:tc>
      </w:tr>
      <w:tr w:rsidR="001C5A95" w:rsidRPr="00F847C2" w14:paraId="634D0EFA" w14:textId="77777777">
        <w:tc>
          <w:tcPr>
            <w:tcW w:w="3045" w:type="dxa"/>
          </w:tcPr>
          <w:p w14:paraId="337519EA" w14:textId="77777777" w:rsidR="001C5A95" w:rsidRPr="001C5A95" w:rsidRDefault="001C5A95" w:rsidP="001C5A95">
            <w:pPr>
              <w:spacing w:before="240"/>
              <w:jc w:val="center"/>
              <w:rPr>
                <w:b/>
                <w:bCs/>
              </w:rPr>
            </w:pPr>
            <w:r w:rsidRPr="001C5A95">
              <w:rPr>
                <w:b/>
                <w:bCs/>
              </w:rPr>
              <w:t>Lingfield</w:t>
            </w:r>
          </w:p>
        </w:tc>
        <w:tc>
          <w:tcPr>
            <w:tcW w:w="1321" w:type="dxa"/>
            <w:vAlign w:val="center"/>
          </w:tcPr>
          <w:p w14:paraId="12ED5488" w14:textId="77777777" w:rsidR="001C5A95" w:rsidRPr="0036440F" w:rsidRDefault="006F3574" w:rsidP="001C5A95">
            <w:pPr>
              <w:spacing w:before="240"/>
              <w:jc w:val="center"/>
              <w:rPr>
                <w:rFonts w:cs="Arial"/>
              </w:rPr>
            </w:pPr>
            <w:r w:rsidRPr="0036440F">
              <w:rPr>
                <w:rFonts w:cs="Arial"/>
              </w:rPr>
              <w:t xml:space="preserve">A: </w:t>
            </w:r>
            <w:r w:rsidR="00B96F81" w:rsidRPr="0036440F">
              <w:rPr>
                <w:rFonts w:cs="Arial"/>
              </w:rPr>
              <w:t>12, 694</w:t>
            </w:r>
          </w:p>
          <w:p w14:paraId="2E6FE5EC" w14:textId="48BEA893" w:rsidR="001C5A95" w:rsidRPr="0036440F" w:rsidRDefault="00E2711C" w:rsidP="001C5A95">
            <w:pPr>
              <w:spacing w:before="240"/>
              <w:jc w:val="center"/>
            </w:pPr>
            <w:r w:rsidRPr="0036440F">
              <w:t>B: 13,208</w:t>
            </w:r>
          </w:p>
        </w:tc>
        <w:tc>
          <w:tcPr>
            <w:tcW w:w="1280" w:type="dxa"/>
            <w:vAlign w:val="center"/>
          </w:tcPr>
          <w:p w14:paraId="5CD05676" w14:textId="77777777" w:rsidR="001C5A95" w:rsidRPr="0036440F" w:rsidRDefault="00B96F81" w:rsidP="001C5A95">
            <w:pPr>
              <w:spacing w:before="240"/>
              <w:jc w:val="center"/>
            </w:pPr>
            <w:r w:rsidRPr="0036440F">
              <w:t>A: 7%</w:t>
            </w:r>
          </w:p>
          <w:p w14:paraId="15D46641" w14:textId="13A7E6CE" w:rsidR="001C5A95" w:rsidRPr="0036440F" w:rsidRDefault="0036440F" w:rsidP="001C5A95">
            <w:pPr>
              <w:spacing w:before="240"/>
              <w:jc w:val="center"/>
            </w:pPr>
            <w:r w:rsidRPr="0036440F">
              <w:t>11</w:t>
            </w:r>
            <w:r w:rsidR="001C5A95" w:rsidRPr="0036440F">
              <w:t>%</w:t>
            </w:r>
          </w:p>
        </w:tc>
        <w:tc>
          <w:tcPr>
            <w:tcW w:w="9517" w:type="dxa"/>
          </w:tcPr>
          <w:p w14:paraId="4CE0547D" w14:textId="77777777" w:rsidR="001C5A95" w:rsidRPr="00D908E7" w:rsidRDefault="001C5A95" w:rsidP="001C5A95">
            <w:pPr>
              <w:ind w:left="60"/>
            </w:pPr>
          </w:p>
          <w:p w14:paraId="299AC30B" w14:textId="722784CD" w:rsidR="00DF2724" w:rsidRDefault="00DF2724" w:rsidP="00DF2724">
            <w:pPr>
              <w:rPr>
                <w:rFonts w:cs="Arial"/>
              </w:rPr>
            </w:pPr>
            <w:r>
              <w:rPr>
                <w:rFonts w:cs="Arial"/>
              </w:rPr>
              <w:t>The division of Lingfield encompasses the entire south of the district, following the County Border along the south and eastern boundary and the county Border and Mole Valley boundary to the west.  The northern boundary</w:t>
            </w:r>
            <w:r w:rsidR="00135967">
              <w:rPr>
                <w:rFonts w:cs="Arial"/>
              </w:rPr>
              <w:t xml:space="preserve"> currentl</w:t>
            </w:r>
            <w:r w:rsidR="006B2814">
              <w:rPr>
                <w:rFonts w:cs="Arial"/>
              </w:rPr>
              <w:t>y</w:t>
            </w:r>
            <w:r>
              <w:rPr>
                <w:rFonts w:cs="Arial"/>
              </w:rPr>
              <w:t xml:space="preserve"> follows the five parish borders of Burstow, Horne, Lingfield, Crowhurst and Dormansland.  </w:t>
            </w:r>
          </w:p>
          <w:p w14:paraId="4B36EB56" w14:textId="77777777" w:rsidR="00DF2724" w:rsidRDefault="00DF2724" w:rsidP="001C5A95">
            <w:pPr>
              <w:ind w:left="60"/>
            </w:pPr>
          </w:p>
          <w:p w14:paraId="3645AA15" w14:textId="77777777" w:rsidR="00DF2724" w:rsidRDefault="00DF2724" w:rsidP="001C5A95">
            <w:pPr>
              <w:ind w:left="60"/>
            </w:pPr>
          </w:p>
          <w:p w14:paraId="3775CBC1" w14:textId="14EF2AB2" w:rsidR="009B2C39" w:rsidRPr="00D908E7" w:rsidRDefault="00B95956" w:rsidP="001C5A95">
            <w:pPr>
              <w:ind w:left="60"/>
            </w:pPr>
            <w:r w:rsidRPr="00D908E7">
              <w:t>There are two suggested options to add</w:t>
            </w:r>
            <w:r w:rsidR="009A5F6A" w:rsidRPr="00D908E7">
              <w:t>ress the electoral variance in Lingfield.</w:t>
            </w:r>
          </w:p>
          <w:p w14:paraId="3231A2EE" w14:textId="354453BC" w:rsidR="009A5F6A" w:rsidRPr="00D908E7" w:rsidRDefault="009A5F6A" w:rsidP="001C5A95">
            <w:pPr>
              <w:ind w:left="60"/>
            </w:pPr>
          </w:p>
          <w:p w14:paraId="6866DEBC" w14:textId="77777777" w:rsidR="009A5F6A" w:rsidRPr="00D908E7" w:rsidRDefault="009A5F6A" w:rsidP="009A5F6A">
            <w:pPr>
              <w:ind w:left="60"/>
            </w:pPr>
            <w:r w:rsidRPr="00D908E7">
              <w:t xml:space="preserve">In Option A, the Parish of Horne (Polling District BB) is moved from Lingfield into Godstone. </w:t>
            </w:r>
          </w:p>
          <w:p w14:paraId="4D7BB14E" w14:textId="77777777" w:rsidR="009A5F6A" w:rsidRPr="00D908E7" w:rsidRDefault="009A5F6A" w:rsidP="009A5F6A">
            <w:pPr>
              <w:ind w:left="60"/>
            </w:pPr>
          </w:p>
          <w:p w14:paraId="194D33E2" w14:textId="17C91609" w:rsidR="009A5F6A" w:rsidRPr="00D908E7" w:rsidRDefault="009A5F6A" w:rsidP="009A5F6A">
            <w:pPr>
              <w:ind w:left="60"/>
            </w:pPr>
            <w:r w:rsidRPr="00D908E7">
              <w:t>In Option B, the Parish of Crowhurst (Polling District JB) is moved from Lingfield to Godstone.</w:t>
            </w:r>
          </w:p>
          <w:p w14:paraId="231CE025" w14:textId="77777777" w:rsidR="009A5F6A" w:rsidRPr="00D908E7" w:rsidRDefault="009A5F6A" w:rsidP="001C5A95">
            <w:pPr>
              <w:ind w:left="60"/>
            </w:pPr>
          </w:p>
          <w:p w14:paraId="68C18660" w14:textId="713BD8FF" w:rsidR="009B2C39" w:rsidRPr="00D908E7" w:rsidRDefault="009B2C39" w:rsidP="001C5A95">
            <w:pPr>
              <w:ind w:left="60"/>
            </w:pPr>
          </w:p>
        </w:tc>
      </w:tr>
      <w:tr w:rsidR="001C5A95" w:rsidRPr="00F847C2" w14:paraId="1ECD4D8D" w14:textId="77777777">
        <w:tc>
          <w:tcPr>
            <w:tcW w:w="3045" w:type="dxa"/>
          </w:tcPr>
          <w:p w14:paraId="1E448190" w14:textId="77777777" w:rsidR="001C5A95" w:rsidRPr="001C5A95" w:rsidRDefault="001C5A95" w:rsidP="001C5A95">
            <w:pPr>
              <w:spacing w:before="240"/>
              <w:jc w:val="center"/>
              <w:rPr>
                <w:b/>
                <w:bCs/>
              </w:rPr>
            </w:pPr>
            <w:r w:rsidRPr="001C5A95">
              <w:rPr>
                <w:b/>
                <w:bCs/>
              </w:rPr>
              <w:t>Oxted</w:t>
            </w:r>
          </w:p>
        </w:tc>
        <w:tc>
          <w:tcPr>
            <w:tcW w:w="1321" w:type="dxa"/>
            <w:vAlign w:val="center"/>
          </w:tcPr>
          <w:p w14:paraId="3A29FF2E" w14:textId="77777777" w:rsidR="001C5A95" w:rsidRPr="0036440F" w:rsidRDefault="00E2711C" w:rsidP="00983727">
            <w:pPr>
              <w:spacing w:before="240"/>
              <w:rPr>
                <w:rFonts w:cs="Arial"/>
              </w:rPr>
            </w:pPr>
            <w:r w:rsidRPr="0036440F">
              <w:rPr>
                <w:rFonts w:cs="Arial"/>
              </w:rPr>
              <w:t xml:space="preserve">A: </w:t>
            </w:r>
            <w:r w:rsidR="001C5A95">
              <w:rPr>
                <w:rFonts w:cs="Arial"/>
              </w:rPr>
              <w:t>13,170</w:t>
            </w:r>
          </w:p>
          <w:p w14:paraId="452B24A3" w14:textId="315FFC91" w:rsidR="001C5A95" w:rsidRPr="0036440F" w:rsidRDefault="00E2711C" w:rsidP="00983727">
            <w:pPr>
              <w:spacing w:before="240"/>
            </w:pPr>
            <w:r w:rsidRPr="0036440F">
              <w:t xml:space="preserve">B: </w:t>
            </w:r>
            <w:r w:rsidR="0036440F" w:rsidRPr="0036440F">
              <w:t>13,070</w:t>
            </w:r>
          </w:p>
        </w:tc>
        <w:tc>
          <w:tcPr>
            <w:tcW w:w="1280" w:type="dxa"/>
            <w:vAlign w:val="center"/>
          </w:tcPr>
          <w:p w14:paraId="6EC1B42A" w14:textId="4A692622" w:rsidR="001C5A95" w:rsidRPr="0036440F" w:rsidRDefault="00E2711C" w:rsidP="001C5A95">
            <w:pPr>
              <w:spacing w:before="240"/>
              <w:jc w:val="center"/>
              <w:rPr>
                <w:rFonts w:cs="Arial"/>
              </w:rPr>
            </w:pPr>
            <w:r w:rsidRPr="0036440F">
              <w:rPr>
                <w:rFonts w:cs="Arial"/>
              </w:rPr>
              <w:t xml:space="preserve">A: </w:t>
            </w:r>
            <w:r w:rsidR="001C5A95">
              <w:rPr>
                <w:rFonts w:cs="Arial"/>
              </w:rPr>
              <w:t>11%</w:t>
            </w:r>
          </w:p>
          <w:p w14:paraId="3EE8CFED" w14:textId="1CD55CA8" w:rsidR="0036440F" w:rsidRPr="0036440F" w:rsidRDefault="0036440F" w:rsidP="001C5A95">
            <w:pPr>
              <w:spacing w:before="240"/>
              <w:jc w:val="center"/>
              <w:rPr>
                <w:rFonts w:cs="Arial"/>
              </w:rPr>
            </w:pPr>
            <w:r w:rsidRPr="0036440F">
              <w:rPr>
                <w:rFonts w:cs="Arial"/>
              </w:rPr>
              <w:t>B: 10%</w:t>
            </w:r>
          </w:p>
          <w:p w14:paraId="23296B51" w14:textId="2B4E1D2B" w:rsidR="001C5A95" w:rsidRPr="0036440F" w:rsidRDefault="001C5A95" w:rsidP="001C5A95">
            <w:pPr>
              <w:spacing w:before="240"/>
              <w:jc w:val="center"/>
            </w:pPr>
          </w:p>
        </w:tc>
        <w:tc>
          <w:tcPr>
            <w:tcW w:w="9517" w:type="dxa"/>
          </w:tcPr>
          <w:p w14:paraId="7C435630" w14:textId="77777777" w:rsidR="005F539E" w:rsidRDefault="005F539E" w:rsidP="001C5A95">
            <w:pPr>
              <w:ind w:left="60"/>
            </w:pPr>
          </w:p>
          <w:p w14:paraId="28A82324" w14:textId="11C979EE" w:rsidR="001C5A95" w:rsidRDefault="007B72AA" w:rsidP="001C5A95">
            <w:pPr>
              <w:ind w:left="60"/>
              <w:rPr>
                <w:highlight w:val="yellow"/>
              </w:rPr>
            </w:pPr>
            <w:r>
              <w:t xml:space="preserve">The </w:t>
            </w:r>
            <w:r w:rsidR="005F539E">
              <w:t>d</w:t>
            </w:r>
            <w:r>
              <w:t xml:space="preserve">ivision of Oxted lies to the east of the district, encompassing the Parishes of </w:t>
            </w:r>
            <w:r w:rsidR="006A3223">
              <w:t xml:space="preserve">Tandridge. </w:t>
            </w:r>
            <w:r>
              <w:t xml:space="preserve">Limpsfield and Oxted.  </w:t>
            </w:r>
          </w:p>
          <w:p w14:paraId="11824F2F" w14:textId="4F24688F" w:rsidR="009A5F6A" w:rsidRPr="00983727" w:rsidRDefault="009A5F6A" w:rsidP="001C5A95">
            <w:pPr>
              <w:ind w:left="60"/>
            </w:pPr>
          </w:p>
          <w:p w14:paraId="42CC0F6A" w14:textId="54915020" w:rsidR="009A5F6A" w:rsidRPr="00983727" w:rsidRDefault="009A5F6A" w:rsidP="001C5A95">
            <w:pPr>
              <w:ind w:left="60"/>
            </w:pPr>
            <w:r w:rsidRPr="00983727">
              <w:t>In Option A, Oxted remains as it is now.</w:t>
            </w:r>
          </w:p>
          <w:p w14:paraId="38C67FFA" w14:textId="32286F2A" w:rsidR="009A5F6A" w:rsidRPr="00983727" w:rsidRDefault="009A5F6A" w:rsidP="001C5A95">
            <w:pPr>
              <w:ind w:left="60"/>
            </w:pPr>
          </w:p>
          <w:p w14:paraId="543D73D3" w14:textId="499D8F29" w:rsidR="009A5F6A" w:rsidRPr="00983727" w:rsidRDefault="009A5F6A" w:rsidP="001C5A95">
            <w:pPr>
              <w:ind w:left="60"/>
            </w:pPr>
            <w:r w:rsidRPr="00983727">
              <w:t xml:space="preserve">In Option B, </w:t>
            </w:r>
            <w:r w:rsidR="00762959" w:rsidRPr="00983727">
              <w:rPr>
                <w:rFonts w:eastAsia="+mn-ea"/>
                <w:color w:val="000000"/>
                <w:kern w:val="24"/>
                <w:szCs w:val="22"/>
              </w:rPr>
              <w:t>Tandridge Parish is split south of Crowhurst Lane End (Polling District LB) from Oxted to Godstone</w:t>
            </w:r>
          </w:p>
          <w:p w14:paraId="707DA26E" w14:textId="3FE74336" w:rsidR="001C5A95" w:rsidRPr="00F847C2" w:rsidRDefault="001C5A95" w:rsidP="009B2C39">
            <w:pPr>
              <w:ind w:left="60"/>
              <w:rPr>
                <w:highlight w:val="yellow"/>
              </w:rPr>
            </w:pPr>
          </w:p>
        </w:tc>
      </w:tr>
      <w:tr w:rsidR="001C5A95" w14:paraId="6E4AFA17" w14:textId="77777777">
        <w:tc>
          <w:tcPr>
            <w:tcW w:w="3045" w:type="dxa"/>
          </w:tcPr>
          <w:p w14:paraId="4524C9CD" w14:textId="77777777" w:rsidR="001C5A95" w:rsidRPr="001C5A95" w:rsidRDefault="001C5A95" w:rsidP="001C5A95">
            <w:pPr>
              <w:spacing w:before="240"/>
              <w:jc w:val="center"/>
              <w:rPr>
                <w:b/>
                <w:bCs/>
              </w:rPr>
            </w:pPr>
            <w:r w:rsidRPr="001C5A95">
              <w:rPr>
                <w:b/>
                <w:bCs/>
              </w:rPr>
              <w:t>Warlingham</w:t>
            </w:r>
          </w:p>
        </w:tc>
        <w:tc>
          <w:tcPr>
            <w:tcW w:w="1321" w:type="dxa"/>
            <w:vAlign w:val="center"/>
          </w:tcPr>
          <w:p w14:paraId="2F5EA46D" w14:textId="02568C32" w:rsidR="001C5A95" w:rsidRPr="00F847C2" w:rsidRDefault="001C5A95" w:rsidP="001C5A95">
            <w:pPr>
              <w:spacing w:before="240"/>
              <w:jc w:val="center"/>
              <w:rPr>
                <w:highlight w:val="yellow"/>
              </w:rPr>
            </w:pPr>
            <w:r>
              <w:rPr>
                <w:rFonts w:cs="Arial"/>
              </w:rPr>
              <w:t>11,165</w:t>
            </w:r>
          </w:p>
        </w:tc>
        <w:tc>
          <w:tcPr>
            <w:tcW w:w="1280" w:type="dxa"/>
            <w:vAlign w:val="center"/>
          </w:tcPr>
          <w:p w14:paraId="5CD6B31A" w14:textId="223065D0" w:rsidR="001C5A95" w:rsidRPr="00F847C2" w:rsidRDefault="001C5A95" w:rsidP="001C5A95">
            <w:pPr>
              <w:spacing w:before="240"/>
              <w:jc w:val="center"/>
              <w:rPr>
                <w:highlight w:val="yellow"/>
              </w:rPr>
            </w:pPr>
            <w:r>
              <w:rPr>
                <w:rFonts w:cs="Arial"/>
              </w:rPr>
              <w:t>-6%</w:t>
            </w:r>
          </w:p>
        </w:tc>
        <w:tc>
          <w:tcPr>
            <w:tcW w:w="9517" w:type="dxa"/>
          </w:tcPr>
          <w:p w14:paraId="615783A5" w14:textId="77777777" w:rsidR="001C5A95" w:rsidRPr="00F847C2" w:rsidRDefault="001C5A95" w:rsidP="001C5A95">
            <w:pPr>
              <w:ind w:left="60"/>
              <w:rPr>
                <w:highlight w:val="yellow"/>
              </w:rPr>
            </w:pPr>
          </w:p>
          <w:p w14:paraId="1E241EEB" w14:textId="4580E451" w:rsidR="00AB4FC0" w:rsidRPr="00AB4FC0" w:rsidRDefault="00AB4FC0" w:rsidP="001C5A95">
            <w:pPr>
              <w:ind w:left="60"/>
            </w:pPr>
            <w:r w:rsidRPr="00AB4FC0">
              <w:t xml:space="preserve">There are no suggested changes to this </w:t>
            </w:r>
            <w:r w:rsidR="00983727">
              <w:t>d</w:t>
            </w:r>
            <w:r w:rsidRPr="00AB4FC0">
              <w:t>ivision.</w:t>
            </w:r>
          </w:p>
          <w:p w14:paraId="5264FD61" w14:textId="77777777" w:rsidR="00AB4FC0" w:rsidRPr="00AB4FC0" w:rsidRDefault="00AB4FC0" w:rsidP="001C5A95">
            <w:pPr>
              <w:ind w:left="60"/>
            </w:pPr>
          </w:p>
          <w:p w14:paraId="75624095" w14:textId="2F252F91" w:rsidR="001C5A95" w:rsidRDefault="001C5A95" w:rsidP="001C5A95">
            <w:pPr>
              <w:ind w:left="60"/>
            </w:pPr>
            <w:r w:rsidRPr="00AB4FC0">
              <w:t xml:space="preserve">The </w:t>
            </w:r>
            <w:r w:rsidR="00983727">
              <w:t>d</w:t>
            </w:r>
            <w:r w:rsidRPr="00AB4FC0">
              <w:t>ivision of Warlingham is situated in the north of the District, following the County Border to the north and east.  The Division includes the parishes of Tatsfield, Titsey, Chelsham &amp; Farleigh, Warlingham and Woldingham with the parish boundaries co-</w:t>
            </w:r>
            <w:r w:rsidR="00521F24" w:rsidRPr="00AB4FC0">
              <w:t>terminus</w:t>
            </w:r>
            <w:r w:rsidRPr="00AB4FC0">
              <w:t xml:space="preserve"> with the </w:t>
            </w:r>
            <w:r w:rsidR="00723F6C">
              <w:t>d</w:t>
            </w:r>
            <w:r w:rsidRPr="00AB4FC0">
              <w:t xml:space="preserve">ivision boundary.    </w:t>
            </w:r>
          </w:p>
          <w:p w14:paraId="08E76932" w14:textId="30BB464F" w:rsidR="00723F6C" w:rsidRDefault="00723F6C" w:rsidP="001C5A95">
            <w:pPr>
              <w:ind w:left="60"/>
            </w:pPr>
          </w:p>
          <w:p w14:paraId="0DC5FC76" w14:textId="77777777" w:rsidR="00723F6C" w:rsidRDefault="00723F6C" w:rsidP="00723F6C">
            <w:pPr>
              <w:ind w:left="60"/>
            </w:pPr>
            <w:r>
              <w:t xml:space="preserve">Both Warlingham and Woldingham are located on the hills to the west of the Caterham and Whyteleafe Valley with extended rural aspects.  There are no main A-roads serving this area, which relies on more minor roads, stemming from Croydon in the North and Titsey in the South.  In addition, the London-East Grinstead railway runs through the area, stopping first in Upper Warlingham before Woldingham and onto Oxted further south.  Warlingham and Woldingham are distinct natural communities, with individual community facilities and their own small local shopping parades.  </w:t>
            </w:r>
          </w:p>
          <w:p w14:paraId="1B851670" w14:textId="77777777" w:rsidR="00723F6C" w:rsidRPr="00AB4FC0" w:rsidRDefault="00723F6C" w:rsidP="001C5A95">
            <w:pPr>
              <w:ind w:left="60"/>
            </w:pPr>
          </w:p>
          <w:p w14:paraId="555486B1" w14:textId="77777777" w:rsidR="001C5A95" w:rsidRPr="00F847C2" w:rsidRDefault="001C5A95" w:rsidP="001C5A95">
            <w:pPr>
              <w:ind w:left="60"/>
              <w:rPr>
                <w:highlight w:val="yellow"/>
              </w:rPr>
            </w:pPr>
          </w:p>
          <w:p w14:paraId="4C22CE23" w14:textId="77777777" w:rsidR="001C5A95" w:rsidRDefault="001C5A95" w:rsidP="00AB4FC0">
            <w:pPr>
              <w:ind w:left="60"/>
            </w:pPr>
          </w:p>
        </w:tc>
      </w:tr>
    </w:tbl>
    <w:p w14:paraId="4D693B57" w14:textId="77777777" w:rsidR="008256AD" w:rsidRDefault="008256AD"/>
    <w:p w14:paraId="59166387" w14:textId="77777777" w:rsidR="008256AD" w:rsidRDefault="008256AD"/>
    <w:p w14:paraId="4AF51399" w14:textId="77777777" w:rsidR="008256AD" w:rsidRDefault="008256AD">
      <w:pPr>
        <w:pStyle w:val="Heading1"/>
        <w:numPr>
          <w:ilvl w:val="0"/>
          <w:numId w:val="0"/>
        </w:numPr>
      </w:pPr>
      <w:r>
        <w:br w:type="page"/>
        <w:t>Waverley</w:t>
      </w:r>
    </w:p>
    <w:p w14:paraId="36FDC174" w14:textId="77777777" w:rsidR="008256AD" w:rsidRDefault="008256AD"/>
    <w:p w14:paraId="75394BE5" w14:textId="774EB051" w:rsidR="008256AD" w:rsidRDefault="00465D08">
      <w:r w:rsidRPr="00465D08">
        <w:t>For Waverley, the proposal is for nine divisions representing an electorate of 100,246. This would equate to an average electorate size for each division of 11,138.</w:t>
      </w:r>
      <w:r w:rsidR="00C80500">
        <w:t xml:space="preserve"> However, achieving electoral equality in Waverley is difficult, given it’s large, rural nature and the fact that it has a number of established communities represented by Town and Parish councils. </w:t>
      </w:r>
      <w:r w:rsidR="00524B09">
        <w:t xml:space="preserve">Although the task group has some ideas for tackling the projected electoral variance in Waverley, it has not been able to work these through in </w:t>
      </w:r>
      <w:r w:rsidR="0024144C">
        <w:t>detail</w:t>
      </w:r>
      <w:r w:rsidR="00524B09">
        <w:t xml:space="preserve"> or </w:t>
      </w:r>
      <w:r w:rsidR="00664515">
        <w:t>discuss whether they would be workable locally (for example, through consultation with local Parish councils</w:t>
      </w:r>
      <w:r w:rsidR="0024144C">
        <w:t>)</w:t>
      </w:r>
      <w:r w:rsidR="00664515">
        <w:t xml:space="preserve">. </w:t>
      </w:r>
      <w:r w:rsidR="00504F4E">
        <w:t xml:space="preserve">In any case, the divisions of Cranleigh &amp; Ewhurst and the Farnham divisions are proposed to remain unchanged. </w:t>
      </w:r>
      <w:r w:rsidR="00664515">
        <w:t xml:space="preserve">As a result, we have not drawn up a map for Waverley as there are a number of key boundaries where we </w:t>
      </w:r>
      <w:r w:rsidR="0024144C">
        <w:t>the task group does</w:t>
      </w:r>
      <w:r w:rsidR="00664515">
        <w:t xml:space="preserve"> not have an exact proposal to share. </w:t>
      </w:r>
    </w:p>
    <w:p w14:paraId="61AE69BC" w14:textId="77777777" w:rsidR="0032322C" w:rsidRDefault="0032322C"/>
    <w:p w14:paraId="32219737" w14:textId="77777777" w:rsidR="008256AD" w:rsidRDefault="008256AD"/>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0"/>
        <w:gridCol w:w="1319"/>
        <w:gridCol w:w="1777"/>
        <w:gridCol w:w="8833"/>
      </w:tblGrid>
      <w:tr w:rsidR="00E73AAC" w14:paraId="281205FB" w14:textId="77777777" w:rsidTr="00246156">
        <w:tc>
          <w:tcPr>
            <w:tcW w:w="2950" w:type="dxa"/>
          </w:tcPr>
          <w:p w14:paraId="4DB2D8BE" w14:textId="77777777" w:rsidR="000712AD" w:rsidRPr="009959FC" w:rsidRDefault="000712AD">
            <w:pPr>
              <w:pStyle w:val="Heading4"/>
              <w:numPr>
                <w:ilvl w:val="0"/>
                <w:numId w:val="0"/>
              </w:numPr>
              <w:spacing w:before="120"/>
              <w:jc w:val="center"/>
              <w:rPr>
                <w:b/>
                <w:bCs/>
                <w:i w:val="0"/>
                <w:iCs w:val="0"/>
              </w:rPr>
            </w:pPr>
            <w:r w:rsidRPr="009959FC">
              <w:rPr>
                <w:b/>
                <w:bCs/>
                <w:i w:val="0"/>
                <w:iCs w:val="0"/>
              </w:rPr>
              <w:t>Division Name</w:t>
            </w:r>
          </w:p>
        </w:tc>
        <w:tc>
          <w:tcPr>
            <w:tcW w:w="1319" w:type="dxa"/>
          </w:tcPr>
          <w:p w14:paraId="6131E0F7" w14:textId="77777777" w:rsidR="000712AD" w:rsidRPr="009959FC" w:rsidRDefault="000712AD">
            <w:pPr>
              <w:spacing w:before="120"/>
              <w:jc w:val="center"/>
              <w:rPr>
                <w:b/>
                <w:bCs/>
              </w:rPr>
            </w:pPr>
            <w:r w:rsidRPr="009959FC">
              <w:rPr>
                <w:b/>
                <w:bCs/>
              </w:rPr>
              <w:t>2029 Forecast Electorate</w:t>
            </w:r>
          </w:p>
        </w:tc>
        <w:tc>
          <w:tcPr>
            <w:tcW w:w="1777" w:type="dxa"/>
          </w:tcPr>
          <w:p w14:paraId="51904BCE" w14:textId="77777777" w:rsidR="000712AD" w:rsidRPr="009959FC" w:rsidRDefault="000712AD">
            <w:pPr>
              <w:spacing w:before="120"/>
              <w:jc w:val="center"/>
              <w:rPr>
                <w:b/>
                <w:bCs/>
              </w:rPr>
            </w:pPr>
            <w:r w:rsidRPr="009959FC">
              <w:rPr>
                <w:b/>
                <w:bCs/>
              </w:rPr>
              <w:t>2029 Forecast Electorate Variance</w:t>
            </w:r>
          </w:p>
        </w:tc>
        <w:tc>
          <w:tcPr>
            <w:tcW w:w="8833" w:type="dxa"/>
          </w:tcPr>
          <w:p w14:paraId="7FBA45BB" w14:textId="77777777" w:rsidR="000712AD" w:rsidRPr="009959FC" w:rsidRDefault="000712AD">
            <w:pPr>
              <w:spacing w:before="120"/>
              <w:jc w:val="center"/>
              <w:rPr>
                <w:rFonts w:cs="Arial"/>
                <w:b/>
                <w:bCs/>
                <w:szCs w:val="22"/>
              </w:rPr>
            </w:pPr>
            <w:r w:rsidRPr="009959FC">
              <w:rPr>
                <w:rFonts w:cs="Arial"/>
                <w:b/>
                <w:bCs/>
                <w:szCs w:val="22"/>
              </w:rPr>
              <w:t>Evidence and Rationale that the proposals meet the statutory criteria</w:t>
            </w:r>
          </w:p>
        </w:tc>
      </w:tr>
      <w:tr w:rsidR="00E73AAC" w14:paraId="103C5574" w14:textId="77777777" w:rsidTr="00246156">
        <w:tc>
          <w:tcPr>
            <w:tcW w:w="2950" w:type="dxa"/>
          </w:tcPr>
          <w:p w14:paraId="567C2927" w14:textId="77777777" w:rsidR="00F652CB" w:rsidRPr="00AF59F5" w:rsidRDefault="00F652CB" w:rsidP="00F652CB">
            <w:pPr>
              <w:spacing w:before="240"/>
              <w:jc w:val="center"/>
              <w:rPr>
                <w:b/>
                <w:bCs/>
              </w:rPr>
            </w:pPr>
            <w:r w:rsidRPr="00AF59F5">
              <w:rPr>
                <w:b/>
                <w:bCs/>
              </w:rPr>
              <w:t>Cranleigh &amp; Ewhurst</w:t>
            </w:r>
          </w:p>
        </w:tc>
        <w:tc>
          <w:tcPr>
            <w:tcW w:w="1319" w:type="dxa"/>
            <w:vAlign w:val="center"/>
          </w:tcPr>
          <w:p w14:paraId="74439522" w14:textId="02AF8768" w:rsidR="00F652CB" w:rsidRPr="00F847C2" w:rsidRDefault="00F652CB" w:rsidP="00F652CB">
            <w:pPr>
              <w:spacing w:before="240"/>
              <w:jc w:val="center"/>
              <w:rPr>
                <w:highlight w:val="yellow"/>
              </w:rPr>
            </w:pPr>
            <w:r>
              <w:rPr>
                <w:rFonts w:cs="Arial"/>
              </w:rPr>
              <w:t>12,026</w:t>
            </w:r>
          </w:p>
        </w:tc>
        <w:tc>
          <w:tcPr>
            <w:tcW w:w="1777" w:type="dxa"/>
            <w:vAlign w:val="center"/>
          </w:tcPr>
          <w:p w14:paraId="5FBD1CA1" w14:textId="14A08348" w:rsidR="00F652CB" w:rsidRPr="00F847C2" w:rsidRDefault="00F652CB" w:rsidP="00F652CB">
            <w:pPr>
              <w:spacing w:before="240"/>
              <w:jc w:val="center"/>
              <w:rPr>
                <w:highlight w:val="yellow"/>
              </w:rPr>
            </w:pPr>
            <w:r>
              <w:rPr>
                <w:rFonts w:cs="Arial"/>
              </w:rPr>
              <w:t>1%</w:t>
            </w:r>
          </w:p>
        </w:tc>
        <w:tc>
          <w:tcPr>
            <w:tcW w:w="8833" w:type="dxa"/>
          </w:tcPr>
          <w:p w14:paraId="25ADC971" w14:textId="77777777" w:rsidR="00F652CB" w:rsidRPr="00F847C2" w:rsidRDefault="00F652CB" w:rsidP="00F652CB">
            <w:pPr>
              <w:rPr>
                <w:rFonts w:cs="Arial"/>
                <w:szCs w:val="22"/>
                <w:highlight w:val="yellow"/>
              </w:rPr>
            </w:pPr>
          </w:p>
          <w:p w14:paraId="3D9E32BA" w14:textId="60C99969" w:rsidR="00C20755" w:rsidRPr="005108A7" w:rsidRDefault="00C20755" w:rsidP="00F652CB">
            <w:pPr>
              <w:rPr>
                <w:rFonts w:cs="Arial"/>
                <w:szCs w:val="22"/>
              </w:rPr>
            </w:pPr>
            <w:r w:rsidRPr="005108A7">
              <w:rPr>
                <w:rFonts w:cs="Arial"/>
                <w:szCs w:val="22"/>
              </w:rPr>
              <w:t xml:space="preserve">There are no suggested changes to this </w:t>
            </w:r>
            <w:r w:rsidR="00983727">
              <w:rPr>
                <w:rFonts w:cs="Arial"/>
                <w:szCs w:val="22"/>
              </w:rPr>
              <w:t>d</w:t>
            </w:r>
            <w:r w:rsidRPr="005108A7">
              <w:rPr>
                <w:rFonts w:cs="Arial"/>
                <w:szCs w:val="22"/>
              </w:rPr>
              <w:t xml:space="preserve">ivision. </w:t>
            </w:r>
          </w:p>
          <w:p w14:paraId="7BFC01A7" w14:textId="77777777" w:rsidR="00C20755" w:rsidRPr="005108A7" w:rsidRDefault="00C20755" w:rsidP="00F652CB">
            <w:pPr>
              <w:rPr>
                <w:rFonts w:cs="Arial"/>
                <w:szCs w:val="22"/>
              </w:rPr>
            </w:pPr>
          </w:p>
          <w:p w14:paraId="1715C700" w14:textId="27D347FB" w:rsidR="00F652CB" w:rsidRPr="005108A7" w:rsidRDefault="00F652CB" w:rsidP="00F652CB">
            <w:pPr>
              <w:rPr>
                <w:rFonts w:cs="Arial"/>
                <w:szCs w:val="22"/>
              </w:rPr>
            </w:pPr>
            <w:r w:rsidRPr="005108A7">
              <w:rPr>
                <w:rFonts w:cs="Arial"/>
                <w:szCs w:val="22"/>
              </w:rPr>
              <w:t>The north</w:t>
            </w:r>
            <w:r w:rsidR="00B91180">
              <w:rPr>
                <w:rFonts w:cs="Arial"/>
                <w:szCs w:val="22"/>
              </w:rPr>
              <w:t>ern</w:t>
            </w:r>
            <w:r w:rsidRPr="005108A7">
              <w:rPr>
                <w:rFonts w:cs="Arial"/>
                <w:szCs w:val="22"/>
              </w:rPr>
              <w:t xml:space="preserve"> and east</w:t>
            </w:r>
            <w:r w:rsidR="00B91180">
              <w:rPr>
                <w:rFonts w:cs="Arial"/>
                <w:szCs w:val="22"/>
              </w:rPr>
              <w:t>ern</w:t>
            </w:r>
            <w:r w:rsidRPr="005108A7">
              <w:rPr>
                <w:rFonts w:cs="Arial"/>
                <w:szCs w:val="22"/>
              </w:rPr>
              <w:t xml:space="preserve"> boundaries of the </w:t>
            </w:r>
            <w:r w:rsidR="00983727">
              <w:rPr>
                <w:rFonts w:cs="Arial"/>
                <w:szCs w:val="22"/>
              </w:rPr>
              <w:t>d</w:t>
            </w:r>
            <w:r w:rsidRPr="005108A7">
              <w:rPr>
                <w:rFonts w:cs="Arial"/>
                <w:szCs w:val="22"/>
              </w:rPr>
              <w:t xml:space="preserve">ivision of Cranleigh &amp; Ewhurst are the boundaries with Guildford and Mole Valley respectively while the southern boundary is the County Border.   </w:t>
            </w:r>
          </w:p>
          <w:p w14:paraId="39800166" w14:textId="77777777" w:rsidR="00F652CB" w:rsidRPr="005108A7" w:rsidRDefault="00F652CB" w:rsidP="00F652CB">
            <w:pPr>
              <w:rPr>
                <w:rFonts w:cs="Arial"/>
                <w:szCs w:val="22"/>
              </w:rPr>
            </w:pPr>
          </w:p>
          <w:p w14:paraId="7EC27AF2" w14:textId="47CD23D9" w:rsidR="00F652CB" w:rsidRPr="005108A7" w:rsidRDefault="00F652CB" w:rsidP="00F652CB">
            <w:pPr>
              <w:rPr>
                <w:rFonts w:cs="Arial"/>
                <w:szCs w:val="22"/>
              </w:rPr>
            </w:pPr>
            <w:r w:rsidRPr="005108A7">
              <w:rPr>
                <w:rFonts w:cs="Arial"/>
                <w:szCs w:val="22"/>
              </w:rPr>
              <w:t xml:space="preserve">The </w:t>
            </w:r>
            <w:r w:rsidR="00664515">
              <w:rPr>
                <w:rFonts w:cs="Arial"/>
                <w:szCs w:val="22"/>
              </w:rPr>
              <w:t>d</w:t>
            </w:r>
            <w:r w:rsidRPr="005108A7">
              <w:rPr>
                <w:rFonts w:cs="Arial"/>
                <w:szCs w:val="22"/>
              </w:rPr>
              <w:t>ivision includes Cranleigh Parish and Ewhurst Parish with the wester</w:t>
            </w:r>
            <w:r w:rsidR="00C20755" w:rsidRPr="005108A7">
              <w:rPr>
                <w:rFonts w:cs="Arial"/>
                <w:szCs w:val="22"/>
              </w:rPr>
              <w:t>n</w:t>
            </w:r>
            <w:r w:rsidRPr="005108A7">
              <w:rPr>
                <w:rFonts w:cs="Arial"/>
                <w:szCs w:val="22"/>
              </w:rPr>
              <w:t xml:space="preserve"> boundary for the division following the Cranleigh Parish line.  </w:t>
            </w:r>
          </w:p>
          <w:p w14:paraId="05F38E67" w14:textId="77777777" w:rsidR="00F652CB" w:rsidRPr="00F847C2" w:rsidRDefault="00F652CB" w:rsidP="00F652CB">
            <w:pPr>
              <w:rPr>
                <w:rFonts w:cs="Arial"/>
                <w:szCs w:val="22"/>
                <w:highlight w:val="yellow"/>
              </w:rPr>
            </w:pPr>
          </w:p>
          <w:p w14:paraId="0FF6F5B2" w14:textId="77777777" w:rsidR="00F652CB" w:rsidRPr="00F847C2" w:rsidRDefault="00F652CB" w:rsidP="00C20755">
            <w:pPr>
              <w:rPr>
                <w:rFonts w:cs="Arial"/>
                <w:b/>
                <w:i/>
                <w:szCs w:val="22"/>
                <w:highlight w:val="yellow"/>
              </w:rPr>
            </w:pPr>
          </w:p>
        </w:tc>
      </w:tr>
      <w:tr w:rsidR="00E73AAC" w14:paraId="5D136685" w14:textId="77777777" w:rsidTr="00246156">
        <w:tc>
          <w:tcPr>
            <w:tcW w:w="2950" w:type="dxa"/>
          </w:tcPr>
          <w:p w14:paraId="75A707EC" w14:textId="77777777" w:rsidR="007C5CBC" w:rsidRPr="00AF59F5" w:rsidRDefault="007C5CBC" w:rsidP="007C5CBC">
            <w:pPr>
              <w:spacing w:before="240"/>
              <w:jc w:val="center"/>
              <w:rPr>
                <w:b/>
                <w:bCs/>
              </w:rPr>
            </w:pPr>
            <w:r w:rsidRPr="00AF59F5">
              <w:rPr>
                <w:b/>
                <w:bCs/>
              </w:rPr>
              <w:t>Farnham North</w:t>
            </w:r>
          </w:p>
        </w:tc>
        <w:tc>
          <w:tcPr>
            <w:tcW w:w="1319" w:type="dxa"/>
            <w:vAlign w:val="center"/>
          </w:tcPr>
          <w:p w14:paraId="23E7DF33" w14:textId="3170759A" w:rsidR="007C5CBC" w:rsidRPr="00F847C2" w:rsidRDefault="007C5CBC" w:rsidP="007C5CBC">
            <w:pPr>
              <w:spacing w:before="240"/>
              <w:jc w:val="center"/>
              <w:rPr>
                <w:highlight w:val="yellow"/>
              </w:rPr>
            </w:pPr>
            <w:r>
              <w:rPr>
                <w:rFonts w:cs="Arial"/>
              </w:rPr>
              <w:t>10,757</w:t>
            </w:r>
          </w:p>
        </w:tc>
        <w:tc>
          <w:tcPr>
            <w:tcW w:w="1777" w:type="dxa"/>
            <w:vAlign w:val="center"/>
          </w:tcPr>
          <w:p w14:paraId="116A61C0" w14:textId="6FF8EABB" w:rsidR="007C5CBC" w:rsidRPr="00F847C2" w:rsidRDefault="007C5CBC" w:rsidP="007C5CBC">
            <w:pPr>
              <w:spacing w:before="240"/>
              <w:jc w:val="center"/>
              <w:rPr>
                <w:highlight w:val="yellow"/>
              </w:rPr>
            </w:pPr>
            <w:r>
              <w:rPr>
                <w:rFonts w:cs="Arial"/>
              </w:rPr>
              <w:t>-10%</w:t>
            </w:r>
          </w:p>
        </w:tc>
        <w:tc>
          <w:tcPr>
            <w:tcW w:w="8833" w:type="dxa"/>
          </w:tcPr>
          <w:p w14:paraId="3705F7D2" w14:textId="52B27E43" w:rsidR="007C5CBC" w:rsidRPr="00691685" w:rsidRDefault="007C5CBC" w:rsidP="005108A7">
            <w:pPr>
              <w:rPr>
                <w:rFonts w:cs="Arial"/>
                <w:szCs w:val="22"/>
              </w:rPr>
            </w:pPr>
          </w:p>
          <w:p w14:paraId="24A2BA4A" w14:textId="560BBD7D" w:rsidR="00BF323C" w:rsidRPr="00691685" w:rsidRDefault="00BF323C" w:rsidP="00E33D6C">
            <w:pPr>
              <w:rPr>
                <w:rFonts w:cs="Arial"/>
                <w:szCs w:val="22"/>
              </w:rPr>
            </w:pPr>
            <w:r w:rsidRPr="00691685">
              <w:rPr>
                <w:rFonts w:cs="Arial"/>
                <w:szCs w:val="22"/>
              </w:rPr>
              <w:t xml:space="preserve">There are no suggested changes to this </w:t>
            </w:r>
            <w:r w:rsidR="00664515">
              <w:rPr>
                <w:rFonts w:cs="Arial"/>
                <w:szCs w:val="22"/>
              </w:rPr>
              <w:t>d</w:t>
            </w:r>
            <w:r w:rsidRPr="00691685">
              <w:rPr>
                <w:rFonts w:cs="Arial"/>
                <w:szCs w:val="22"/>
              </w:rPr>
              <w:t>ivision.</w:t>
            </w:r>
          </w:p>
          <w:p w14:paraId="487885D1" w14:textId="77777777" w:rsidR="00BF323C" w:rsidRPr="00691685" w:rsidRDefault="00BF323C" w:rsidP="00BF323C">
            <w:pPr>
              <w:rPr>
                <w:rFonts w:cs="Arial"/>
                <w:szCs w:val="22"/>
              </w:rPr>
            </w:pPr>
          </w:p>
          <w:p w14:paraId="27487696" w14:textId="64B8548A" w:rsidR="007C5CBC" w:rsidRPr="00691685" w:rsidRDefault="007C5CBC" w:rsidP="00BF323C">
            <w:pPr>
              <w:rPr>
                <w:rFonts w:cs="Arial"/>
                <w:bCs/>
                <w:iCs/>
                <w:szCs w:val="22"/>
              </w:rPr>
            </w:pPr>
            <w:r w:rsidRPr="00691685">
              <w:rPr>
                <w:rFonts w:cs="Arial"/>
                <w:szCs w:val="22"/>
              </w:rPr>
              <w:t xml:space="preserve">The </w:t>
            </w:r>
            <w:r w:rsidR="00664515">
              <w:rPr>
                <w:rFonts w:cs="Arial"/>
                <w:szCs w:val="22"/>
              </w:rPr>
              <w:t>d</w:t>
            </w:r>
            <w:r w:rsidRPr="00691685">
              <w:rPr>
                <w:rFonts w:cs="Arial"/>
                <w:szCs w:val="22"/>
              </w:rPr>
              <w:t xml:space="preserve">ivision of Farnham North </w:t>
            </w:r>
            <w:r w:rsidRPr="00691685">
              <w:rPr>
                <w:rFonts w:cs="Arial"/>
                <w:bCs/>
                <w:iCs/>
                <w:szCs w:val="22"/>
              </w:rPr>
              <w:t xml:space="preserve">has a distinctively suburban and residential character and associations with the Aldershot area which contrast with the historic urban central part of the town. </w:t>
            </w:r>
          </w:p>
          <w:p w14:paraId="21FA2931" w14:textId="77777777" w:rsidR="007C5CBC" w:rsidRPr="00691685" w:rsidRDefault="007C5CBC" w:rsidP="007C5CBC">
            <w:pPr>
              <w:ind w:left="60"/>
              <w:rPr>
                <w:rFonts w:cs="Arial"/>
                <w:szCs w:val="22"/>
              </w:rPr>
            </w:pPr>
            <w:r w:rsidRPr="00691685">
              <w:rPr>
                <w:rFonts w:cs="Arial"/>
                <w:szCs w:val="22"/>
              </w:rPr>
              <w:t xml:space="preserve"> </w:t>
            </w:r>
          </w:p>
          <w:p w14:paraId="07F0E82E" w14:textId="47955C37" w:rsidR="007C5CBC" w:rsidRPr="00691685" w:rsidRDefault="007C5CBC" w:rsidP="00BF323C">
            <w:pPr>
              <w:rPr>
                <w:rFonts w:cs="Arial"/>
                <w:szCs w:val="22"/>
              </w:rPr>
            </w:pPr>
            <w:r w:rsidRPr="00691685">
              <w:rPr>
                <w:rFonts w:cs="Arial"/>
                <w:szCs w:val="22"/>
              </w:rPr>
              <w:t xml:space="preserve">The northern, eastern and western boundaries of the </w:t>
            </w:r>
            <w:r w:rsidR="00664515">
              <w:rPr>
                <w:rFonts w:cs="Arial"/>
                <w:szCs w:val="22"/>
              </w:rPr>
              <w:t>d</w:t>
            </w:r>
            <w:r w:rsidRPr="00691685">
              <w:rPr>
                <w:rFonts w:cs="Arial"/>
                <w:szCs w:val="22"/>
              </w:rPr>
              <w:t xml:space="preserve">ivision of Farnham North are defined by the County Border.  The southern boundary follows </w:t>
            </w:r>
            <w:r w:rsidR="001E3EC0" w:rsidRPr="00691685">
              <w:rPr>
                <w:rFonts w:cs="Arial"/>
                <w:szCs w:val="22"/>
              </w:rPr>
              <w:t>that of the Farnham Upper Hale, Farnham Hale an</w:t>
            </w:r>
            <w:r w:rsidR="00691685" w:rsidRPr="00691685">
              <w:rPr>
                <w:rFonts w:cs="Arial"/>
                <w:szCs w:val="22"/>
              </w:rPr>
              <w:t>d Heath End and Farnham Weybourne and Badshot Lea Wards, meaning that there is effective co-terminosity.</w:t>
            </w:r>
          </w:p>
          <w:p w14:paraId="634B5BF3" w14:textId="06EB322F" w:rsidR="00691685" w:rsidRPr="00F847C2" w:rsidRDefault="00691685" w:rsidP="00BF323C">
            <w:pPr>
              <w:rPr>
                <w:rFonts w:cs="Arial"/>
                <w:szCs w:val="22"/>
                <w:highlight w:val="yellow"/>
              </w:rPr>
            </w:pPr>
          </w:p>
        </w:tc>
      </w:tr>
      <w:tr w:rsidR="00E73AAC" w14:paraId="4DA83FDC" w14:textId="77777777" w:rsidTr="00246156">
        <w:trPr>
          <w:trHeight w:val="3109"/>
        </w:trPr>
        <w:tc>
          <w:tcPr>
            <w:tcW w:w="2950" w:type="dxa"/>
          </w:tcPr>
          <w:p w14:paraId="4C50F613" w14:textId="77777777" w:rsidR="007C5CBC" w:rsidRPr="00AF59F5" w:rsidRDefault="007C5CBC" w:rsidP="007C5CBC">
            <w:pPr>
              <w:spacing w:before="240"/>
              <w:jc w:val="center"/>
              <w:rPr>
                <w:b/>
                <w:bCs/>
              </w:rPr>
            </w:pPr>
            <w:r w:rsidRPr="00AF59F5">
              <w:rPr>
                <w:b/>
                <w:bCs/>
              </w:rPr>
              <w:t>Farnham Central</w:t>
            </w:r>
          </w:p>
        </w:tc>
        <w:tc>
          <w:tcPr>
            <w:tcW w:w="1319" w:type="dxa"/>
            <w:vAlign w:val="center"/>
          </w:tcPr>
          <w:p w14:paraId="5B0620C2" w14:textId="236898F9" w:rsidR="007C5CBC" w:rsidRPr="00F847C2" w:rsidRDefault="007C5CBC" w:rsidP="007C5CBC">
            <w:pPr>
              <w:spacing w:before="240"/>
              <w:jc w:val="center"/>
              <w:rPr>
                <w:highlight w:val="yellow"/>
              </w:rPr>
            </w:pPr>
            <w:r>
              <w:rPr>
                <w:rFonts w:cs="Arial"/>
              </w:rPr>
              <w:t>11,072</w:t>
            </w:r>
          </w:p>
        </w:tc>
        <w:tc>
          <w:tcPr>
            <w:tcW w:w="1777" w:type="dxa"/>
            <w:vAlign w:val="center"/>
          </w:tcPr>
          <w:p w14:paraId="1523A08D" w14:textId="5904F063" w:rsidR="007C5CBC" w:rsidRPr="00F847C2" w:rsidRDefault="007C5CBC" w:rsidP="007C5CBC">
            <w:pPr>
              <w:spacing w:before="240"/>
              <w:jc w:val="center"/>
              <w:rPr>
                <w:highlight w:val="yellow"/>
              </w:rPr>
            </w:pPr>
            <w:r>
              <w:rPr>
                <w:rFonts w:cs="Arial"/>
              </w:rPr>
              <w:t>-7%</w:t>
            </w:r>
          </w:p>
        </w:tc>
        <w:tc>
          <w:tcPr>
            <w:tcW w:w="8833" w:type="dxa"/>
          </w:tcPr>
          <w:p w14:paraId="42C0002A" w14:textId="77777777" w:rsidR="007C5CBC" w:rsidRPr="00360A88" w:rsidRDefault="007C5CBC" w:rsidP="007C5CBC">
            <w:pPr>
              <w:ind w:left="60"/>
              <w:rPr>
                <w:rFonts w:cs="Arial"/>
                <w:szCs w:val="22"/>
              </w:rPr>
            </w:pPr>
          </w:p>
          <w:p w14:paraId="087E2B22" w14:textId="2FE6E72B" w:rsidR="00691685" w:rsidRPr="00360A88" w:rsidRDefault="00691685" w:rsidP="007C5CBC">
            <w:pPr>
              <w:ind w:left="60"/>
              <w:rPr>
                <w:rFonts w:cs="Arial"/>
                <w:szCs w:val="22"/>
              </w:rPr>
            </w:pPr>
            <w:r w:rsidRPr="00360A88">
              <w:rPr>
                <w:rFonts w:cs="Arial"/>
                <w:szCs w:val="22"/>
              </w:rPr>
              <w:t xml:space="preserve">There are no suggested changes to this </w:t>
            </w:r>
            <w:r w:rsidR="00664515">
              <w:rPr>
                <w:rFonts w:cs="Arial"/>
                <w:szCs w:val="22"/>
              </w:rPr>
              <w:t>d</w:t>
            </w:r>
            <w:r w:rsidRPr="00360A88">
              <w:rPr>
                <w:rFonts w:cs="Arial"/>
                <w:szCs w:val="22"/>
              </w:rPr>
              <w:t xml:space="preserve">ivision. </w:t>
            </w:r>
          </w:p>
          <w:p w14:paraId="788EAFF7" w14:textId="77777777" w:rsidR="00691685" w:rsidRPr="005108A7" w:rsidRDefault="00691685" w:rsidP="00691685">
            <w:pPr>
              <w:rPr>
                <w:rFonts w:cs="Arial"/>
                <w:szCs w:val="22"/>
              </w:rPr>
            </w:pPr>
          </w:p>
          <w:p w14:paraId="5AD32133" w14:textId="3CEDD4F8" w:rsidR="007C5CBC" w:rsidRPr="005108A7" w:rsidRDefault="007C5CBC" w:rsidP="007C5CBC">
            <w:pPr>
              <w:ind w:left="60"/>
              <w:rPr>
                <w:rFonts w:cs="Arial"/>
                <w:szCs w:val="22"/>
              </w:rPr>
            </w:pPr>
            <w:r w:rsidRPr="005108A7">
              <w:rPr>
                <w:rFonts w:cs="Arial"/>
                <w:szCs w:val="22"/>
              </w:rPr>
              <w:t xml:space="preserve">The </w:t>
            </w:r>
            <w:r w:rsidR="00664515">
              <w:rPr>
                <w:rFonts w:cs="Arial"/>
                <w:szCs w:val="22"/>
              </w:rPr>
              <w:t>d</w:t>
            </w:r>
            <w:r w:rsidRPr="005108A7">
              <w:rPr>
                <w:rFonts w:cs="Arial"/>
                <w:szCs w:val="22"/>
              </w:rPr>
              <w:t>ivision of Farnham Central contains the historic urban core of Farnham, the transport hub and the retail, cultural and service focus of the wider Farnham area.</w:t>
            </w:r>
          </w:p>
          <w:p w14:paraId="70AD887A" w14:textId="77777777" w:rsidR="007C5CBC" w:rsidRPr="005108A7" w:rsidRDefault="007C5CBC" w:rsidP="007C5CBC">
            <w:pPr>
              <w:ind w:left="60"/>
              <w:rPr>
                <w:rFonts w:cs="Arial"/>
                <w:szCs w:val="22"/>
              </w:rPr>
            </w:pPr>
          </w:p>
          <w:p w14:paraId="4B927BE8" w14:textId="7A03567A" w:rsidR="007C5CBC" w:rsidRPr="00A43A37" w:rsidRDefault="007C5CBC" w:rsidP="00A43A37">
            <w:pPr>
              <w:ind w:left="60"/>
              <w:rPr>
                <w:rFonts w:cs="Arial"/>
                <w:szCs w:val="22"/>
              </w:rPr>
            </w:pPr>
            <w:r w:rsidRPr="005108A7">
              <w:rPr>
                <w:rFonts w:cs="Arial"/>
                <w:szCs w:val="22"/>
              </w:rPr>
              <w:t xml:space="preserve">The western boundary is defined by the County Border while the eastern border follows the boundary with Guildford.  </w:t>
            </w:r>
            <w:r w:rsidR="00546E05" w:rsidRPr="005108A7">
              <w:rPr>
                <w:rFonts w:cs="Arial"/>
                <w:szCs w:val="22"/>
              </w:rPr>
              <w:t>The northern and</w:t>
            </w:r>
            <w:r w:rsidR="00D51951" w:rsidRPr="005108A7">
              <w:rPr>
                <w:rFonts w:cs="Arial"/>
                <w:szCs w:val="22"/>
              </w:rPr>
              <w:t xml:space="preserve"> southern boundaries follow existing ward boundaries, meaning there is effective co-terminosity. </w:t>
            </w:r>
          </w:p>
        </w:tc>
      </w:tr>
      <w:tr w:rsidR="00E73AAC" w14:paraId="05226214" w14:textId="77777777" w:rsidTr="00246156">
        <w:tc>
          <w:tcPr>
            <w:tcW w:w="2950" w:type="dxa"/>
          </w:tcPr>
          <w:p w14:paraId="4AA6A6D3" w14:textId="77777777" w:rsidR="007C5CBC" w:rsidRPr="00AF59F5" w:rsidRDefault="007C5CBC" w:rsidP="007C5CBC">
            <w:pPr>
              <w:spacing w:before="240"/>
              <w:jc w:val="center"/>
              <w:rPr>
                <w:b/>
                <w:bCs/>
              </w:rPr>
            </w:pPr>
            <w:r w:rsidRPr="00AF59F5">
              <w:rPr>
                <w:b/>
                <w:bCs/>
              </w:rPr>
              <w:t>Farnham South</w:t>
            </w:r>
          </w:p>
        </w:tc>
        <w:tc>
          <w:tcPr>
            <w:tcW w:w="1319" w:type="dxa"/>
            <w:vAlign w:val="center"/>
          </w:tcPr>
          <w:p w14:paraId="765AC690" w14:textId="2DCE6A01" w:rsidR="007C5CBC" w:rsidRPr="00F847C2" w:rsidRDefault="007C5CBC" w:rsidP="007C5CBC">
            <w:pPr>
              <w:spacing w:before="240"/>
              <w:jc w:val="center"/>
              <w:rPr>
                <w:highlight w:val="yellow"/>
              </w:rPr>
            </w:pPr>
            <w:r>
              <w:rPr>
                <w:rFonts w:cs="Arial"/>
              </w:rPr>
              <w:t>10,705</w:t>
            </w:r>
          </w:p>
        </w:tc>
        <w:tc>
          <w:tcPr>
            <w:tcW w:w="1777" w:type="dxa"/>
            <w:vAlign w:val="center"/>
          </w:tcPr>
          <w:p w14:paraId="13808152" w14:textId="4DAAFBDD" w:rsidR="007C5CBC" w:rsidRPr="00F847C2" w:rsidRDefault="007C5CBC" w:rsidP="007C5CBC">
            <w:pPr>
              <w:spacing w:before="240"/>
              <w:jc w:val="center"/>
              <w:rPr>
                <w:highlight w:val="yellow"/>
              </w:rPr>
            </w:pPr>
            <w:r>
              <w:rPr>
                <w:rFonts w:cs="Arial"/>
              </w:rPr>
              <w:t>-10%</w:t>
            </w:r>
          </w:p>
        </w:tc>
        <w:tc>
          <w:tcPr>
            <w:tcW w:w="8833" w:type="dxa"/>
          </w:tcPr>
          <w:p w14:paraId="162EBC23" w14:textId="77777777" w:rsidR="007C5CBC" w:rsidRPr="00F847C2" w:rsidRDefault="007C5CBC" w:rsidP="007C5CBC">
            <w:pPr>
              <w:ind w:left="60"/>
              <w:rPr>
                <w:rFonts w:cs="Arial"/>
                <w:szCs w:val="22"/>
                <w:highlight w:val="yellow"/>
              </w:rPr>
            </w:pPr>
          </w:p>
          <w:p w14:paraId="0C5289AE" w14:textId="1F0A7020" w:rsidR="00D159B0" w:rsidRPr="004E6FBE" w:rsidRDefault="00D159B0" w:rsidP="008C0A7A">
            <w:pPr>
              <w:rPr>
                <w:rFonts w:cs="Arial"/>
                <w:szCs w:val="22"/>
              </w:rPr>
            </w:pPr>
            <w:r w:rsidRPr="004E6FBE">
              <w:rPr>
                <w:rFonts w:cs="Arial"/>
                <w:szCs w:val="22"/>
              </w:rPr>
              <w:t xml:space="preserve">There are </w:t>
            </w:r>
            <w:r w:rsidR="00826FA5" w:rsidRPr="004E6FBE">
              <w:rPr>
                <w:rFonts w:cs="Arial"/>
                <w:szCs w:val="22"/>
              </w:rPr>
              <w:t xml:space="preserve">no suggested changes to this </w:t>
            </w:r>
            <w:r w:rsidR="006911E1">
              <w:rPr>
                <w:rFonts w:cs="Arial"/>
                <w:szCs w:val="22"/>
              </w:rPr>
              <w:t>d</w:t>
            </w:r>
            <w:r w:rsidR="00826FA5" w:rsidRPr="004E6FBE">
              <w:rPr>
                <w:rFonts w:cs="Arial"/>
                <w:szCs w:val="22"/>
              </w:rPr>
              <w:t xml:space="preserve">ivision. </w:t>
            </w:r>
          </w:p>
          <w:p w14:paraId="100908C8" w14:textId="77777777" w:rsidR="00D159B0" w:rsidRPr="004E6FBE" w:rsidRDefault="00D159B0" w:rsidP="007C5CBC">
            <w:pPr>
              <w:ind w:left="60"/>
              <w:rPr>
                <w:rFonts w:cs="Arial"/>
                <w:szCs w:val="22"/>
              </w:rPr>
            </w:pPr>
          </w:p>
          <w:p w14:paraId="19F44ED4" w14:textId="0C8BA32D" w:rsidR="007C5CBC" w:rsidRPr="004E6FBE" w:rsidRDefault="007C5CBC" w:rsidP="007C5CBC">
            <w:pPr>
              <w:ind w:left="60"/>
              <w:rPr>
                <w:rFonts w:cs="Arial"/>
                <w:b/>
                <w:i/>
                <w:szCs w:val="22"/>
              </w:rPr>
            </w:pPr>
            <w:r w:rsidRPr="004E6FBE">
              <w:rPr>
                <w:rFonts w:cs="Arial"/>
                <w:szCs w:val="22"/>
              </w:rPr>
              <w:t xml:space="preserve">The </w:t>
            </w:r>
            <w:r w:rsidR="001D1602">
              <w:rPr>
                <w:rFonts w:cs="Arial"/>
                <w:szCs w:val="22"/>
              </w:rPr>
              <w:t>d</w:t>
            </w:r>
            <w:r w:rsidRPr="004E6FBE">
              <w:rPr>
                <w:rFonts w:cs="Arial"/>
                <w:szCs w:val="22"/>
              </w:rPr>
              <w:t xml:space="preserve">ivision of Farnham South is the third division within Farnham Parish, with the western boundary following the parish line and the County Border and the southern boundary again following the parish boundary.  The final northern boundary follows </w:t>
            </w:r>
            <w:r w:rsidR="00C16F5C" w:rsidRPr="004E6FBE">
              <w:rPr>
                <w:rFonts w:cs="Arial"/>
                <w:szCs w:val="22"/>
              </w:rPr>
              <w:t xml:space="preserve">the existing </w:t>
            </w:r>
            <w:r w:rsidR="00E66615">
              <w:rPr>
                <w:rFonts w:cs="Arial"/>
                <w:szCs w:val="22"/>
              </w:rPr>
              <w:t>w</w:t>
            </w:r>
            <w:r w:rsidR="00C16F5C" w:rsidRPr="004E6FBE">
              <w:rPr>
                <w:rFonts w:cs="Arial"/>
                <w:szCs w:val="22"/>
              </w:rPr>
              <w:t>ard boundaries.</w:t>
            </w:r>
          </w:p>
          <w:p w14:paraId="4C80D2C3" w14:textId="77777777" w:rsidR="007C5CBC" w:rsidRPr="00F847C2" w:rsidRDefault="007C5CBC" w:rsidP="007C5CBC">
            <w:pPr>
              <w:ind w:left="60"/>
              <w:rPr>
                <w:rFonts w:cs="Arial"/>
                <w:szCs w:val="22"/>
                <w:highlight w:val="yellow"/>
              </w:rPr>
            </w:pPr>
          </w:p>
        </w:tc>
      </w:tr>
      <w:tr w:rsidR="00E73AAC" w14:paraId="166CF9EC" w14:textId="77777777" w:rsidTr="00246156">
        <w:tc>
          <w:tcPr>
            <w:tcW w:w="2950" w:type="dxa"/>
          </w:tcPr>
          <w:p w14:paraId="13194793" w14:textId="77777777" w:rsidR="007C5CBC" w:rsidRPr="00AF59F5" w:rsidRDefault="007C5CBC" w:rsidP="007C5CBC">
            <w:pPr>
              <w:spacing w:before="240"/>
              <w:jc w:val="center"/>
              <w:rPr>
                <w:b/>
                <w:bCs/>
              </w:rPr>
            </w:pPr>
            <w:r w:rsidRPr="00AF59F5">
              <w:rPr>
                <w:b/>
                <w:bCs/>
              </w:rPr>
              <w:t>Godalming North</w:t>
            </w:r>
          </w:p>
        </w:tc>
        <w:tc>
          <w:tcPr>
            <w:tcW w:w="1319" w:type="dxa"/>
            <w:vAlign w:val="center"/>
          </w:tcPr>
          <w:p w14:paraId="4BDB8F9E" w14:textId="751B8169" w:rsidR="007C5CBC" w:rsidRPr="00F847C2" w:rsidRDefault="00246156" w:rsidP="007C5CBC">
            <w:pPr>
              <w:spacing w:before="240"/>
              <w:jc w:val="center"/>
              <w:rPr>
                <w:highlight w:val="yellow"/>
              </w:rPr>
            </w:pPr>
            <w:r>
              <w:rPr>
                <w:rFonts w:cs="Arial"/>
              </w:rPr>
              <w:t>TBC</w:t>
            </w:r>
          </w:p>
        </w:tc>
        <w:tc>
          <w:tcPr>
            <w:tcW w:w="1777" w:type="dxa"/>
            <w:vAlign w:val="center"/>
          </w:tcPr>
          <w:p w14:paraId="41218999" w14:textId="6526183D" w:rsidR="007C5CBC" w:rsidRPr="006911E1" w:rsidRDefault="00246156" w:rsidP="007C5CBC">
            <w:pPr>
              <w:spacing w:before="240"/>
              <w:jc w:val="center"/>
            </w:pPr>
            <w:r w:rsidRPr="006911E1">
              <w:t>TBC</w:t>
            </w:r>
          </w:p>
        </w:tc>
        <w:tc>
          <w:tcPr>
            <w:tcW w:w="8833" w:type="dxa"/>
            <w:vMerge w:val="restart"/>
          </w:tcPr>
          <w:p w14:paraId="63425B5A" w14:textId="77777777" w:rsidR="007C5CBC" w:rsidRPr="006911E1" w:rsidRDefault="007C5CBC" w:rsidP="007C5CBC">
            <w:pPr>
              <w:rPr>
                <w:rFonts w:cs="Arial"/>
                <w:szCs w:val="22"/>
              </w:rPr>
            </w:pPr>
          </w:p>
          <w:p w14:paraId="07D52159" w14:textId="0928BC10" w:rsidR="004E6FBE" w:rsidRPr="006911E1" w:rsidRDefault="005E184C" w:rsidP="00246156">
            <w:pPr>
              <w:pStyle w:val="BodyTextIndent"/>
              <w:tabs>
                <w:tab w:val="left" w:pos="1830"/>
              </w:tabs>
              <w:rPr>
                <w:szCs w:val="22"/>
              </w:rPr>
            </w:pPr>
            <w:r w:rsidRPr="006911E1">
              <w:rPr>
                <w:szCs w:val="22"/>
              </w:rPr>
              <w:t>See Waverley Western Villages for potential changes to Godalming North and South.</w:t>
            </w:r>
          </w:p>
        </w:tc>
      </w:tr>
      <w:tr w:rsidR="00E73AAC" w14:paraId="5C53DD67" w14:textId="77777777" w:rsidTr="00246156">
        <w:tc>
          <w:tcPr>
            <w:tcW w:w="2950" w:type="dxa"/>
          </w:tcPr>
          <w:p w14:paraId="6DBC9B1D" w14:textId="114C2EC2" w:rsidR="00AD7E6C" w:rsidRPr="00AF59F5" w:rsidRDefault="00AD7E6C" w:rsidP="00AD7E6C">
            <w:pPr>
              <w:spacing w:before="240"/>
              <w:jc w:val="center"/>
              <w:rPr>
                <w:b/>
                <w:bCs/>
              </w:rPr>
            </w:pPr>
            <w:r w:rsidRPr="00AF59F5">
              <w:rPr>
                <w:b/>
                <w:bCs/>
              </w:rPr>
              <w:t>Godalming South</w:t>
            </w:r>
          </w:p>
        </w:tc>
        <w:tc>
          <w:tcPr>
            <w:tcW w:w="1319" w:type="dxa"/>
            <w:vAlign w:val="center"/>
          </w:tcPr>
          <w:p w14:paraId="77979334" w14:textId="5D51348B" w:rsidR="00AD7E6C" w:rsidRPr="00F847C2" w:rsidRDefault="00246156" w:rsidP="00AD7E6C">
            <w:pPr>
              <w:spacing w:before="240"/>
              <w:jc w:val="center"/>
              <w:rPr>
                <w:highlight w:val="yellow"/>
              </w:rPr>
            </w:pPr>
            <w:r w:rsidRPr="006911E1">
              <w:t>TBC</w:t>
            </w:r>
          </w:p>
        </w:tc>
        <w:tc>
          <w:tcPr>
            <w:tcW w:w="1777" w:type="dxa"/>
            <w:vAlign w:val="center"/>
          </w:tcPr>
          <w:p w14:paraId="0CF732D8" w14:textId="01DE24AB" w:rsidR="00AD7E6C" w:rsidRPr="006911E1" w:rsidRDefault="00246156" w:rsidP="00AD7E6C">
            <w:pPr>
              <w:spacing w:before="240"/>
              <w:jc w:val="center"/>
            </w:pPr>
            <w:r w:rsidRPr="006911E1">
              <w:t>TBC</w:t>
            </w:r>
          </w:p>
        </w:tc>
        <w:tc>
          <w:tcPr>
            <w:tcW w:w="8833" w:type="dxa"/>
            <w:vMerge/>
          </w:tcPr>
          <w:p w14:paraId="7DA92095" w14:textId="4B6F5631" w:rsidR="004E6FBE" w:rsidRPr="006911E1" w:rsidRDefault="004E6FBE" w:rsidP="004E6FBE">
            <w:pPr>
              <w:pStyle w:val="BodyTextIndent"/>
              <w:tabs>
                <w:tab w:val="left" w:pos="1830"/>
              </w:tabs>
              <w:rPr>
                <w:szCs w:val="22"/>
              </w:rPr>
            </w:pPr>
          </w:p>
        </w:tc>
      </w:tr>
      <w:tr w:rsidR="00E73AAC" w14:paraId="25E92E17" w14:textId="77777777" w:rsidTr="00246156">
        <w:tc>
          <w:tcPr>
            <w:tcW w:w="2950" w:type="dxa"/>
          </w:tcPr>
          <w:p w14:paraId="18619A34" w14:textId="77777777" w:rsidR="00AF59F5" w:rsidRPr="00AF59F5" w:rsidRDefault="00AF59F5" w:rsidP="00AF59F5">
            <w:pPr>
              <w:spacing w:before="240"/>
              <w:jc w:val="center"/>
              <w:rPr>
                <w:b/>
                <w:bCs/>
              </w:rPr>
            </w:pPr>
            <w:r w:rsidRPr="00AF59F5">
              <w:rPr>
                <w:b/>
                <w:bCs/>
              </w:rPr>
              <w:t>Haslemere</w:t>
            </w:r>
          </w:p>
        </w:tc>
        <w:tc>
          <w:tcPr>
            <w:tcW w:w="1319" w:type="dxa"/>
            <w:vAlign w:val="center"/>
          </w:tcPr>
          <w:p w14:paraId="736571F0" w14:textId="4DB678FB" w:rsidR="00AF59F5" w:rsidRPr="00F847C2" w:rsidRDefault="004C69F1" w:rsidP="00AF59F5">
            <w:pPr>
              <w:spacing w:before="240"/>
              <w:jc w:val="center"/>
              <w:rPr>
                <w:highlight w:val="yellow"/>
              </w:rPr>
            </w:pPr>
            <w:r w:rsidRPr="006911E1">
              <w:t>11,070</w:t>
            </w:r>
          </w:p>
        </w:tc>
        <w:tc>
          <w:tcPr>
            <w:tcW w:w="1777" w:type="dxa"/>
            <w:vAlign w:val="center"/>
          </w:tcPr>
          <w:p w14:paraId="15D0F51B" w14:textId="5D943890" w:rsidR="00AF59F5" w:rsidRPr="00F847C2" w:rsidRDefault="00AF59F5" w:rsidP="00AF59F5">
            <w:pPr>
              <w:spacing w:before="240"/>
              <w:jc w:val="center"/>
              <w:rPr>
                <w:highlight w:val="yellow"/>
              </w:rPr>
            </w:pPr>
            <w:r>
              <w:rPr>
                <w:rFonts w:cs="Arial"/>
              </w:rPr>
              <w:t>-</w:t>
            </w:r>
            <w:r w:rsidR="004C69F1">
              <w:rPr>
                <w:rFonts w:cs="Arial"/>
              </w:rPr>
              <w:t>7</w:t>
            </w:r>
            <w:r>
              <w:rPr>
                <w:rFonts w:cs="Arial"/>
              </w:rPr>
              <w:t>%</w:t>
            </w:r>
          </w:p>
        </w:tc>
        <w:tc>
          <w:tcPr>
            <w:tcW w:w="8833" w:type="dxa"/>
          </w:tcPr>
          <w:p w14:paraId="43A71646" w14:textId="77777777" w:rsidR="00AF59F5" w:rsidRPr="006911E1" w:rsidRDefault="00AF59F5" w:rsidP="006911E1">
            <w:pPr>
              <w:ind w:left="60"/>
              <w:rPr>
                <w:rFonts w:cs="Arial"/>
                <w:szCs w:val="22"/>
              </w:rPr>
            </w:pPr>
          </w:p>
          <w:p w14:paraId="206A4D64" w14:textId="5A1CED69" w:rsidR="007B43F6" w:rsidRDefault="00C73EAC" w:rsidP="006911E1">
            <w:pPr>
              <w:ind w:left="60"/>
              <w:rPr>
                <w:rFonts w:cs="Arial"/>
                <w:szCs w:val="22"/>
              </w:rPr>
            </w:pPr>
            <w:r w:rsidRPr="006911E1">
              <w:rPr>
                <w:rFonts w:cs="Arial"/>
                <w:szCs w:val="22"/>
              </w:rPr>
              <w:t>There is a projected electoral variance of -14% in Haslemere. However, this is</w:t>
            </w:r>
            <w:r w:rsidR="00FA7505" w:rsidRPr="006911E1">
              <w:rPr>
                <w:rFonts w:cs="Arial"/>
                <w:szCs w:val="22"/>
              </w:rPr>
              <w:t xml:space="preserve"> difficult to address as </w:t>
            </w:r>
            <w:r w:rsidR="001D7B08" w:rsidRPr="006911E1">
              <w:rPr>
                <w:rFonts w:cs="Arial"/>
                <w:szCs w:val="22"/>
              </w:rPr>
              <w:t xml:space="preserve">the </w:t>
            </w:r>
            <w:r w:rsidR="00407036">
              <w:rPr>
                <w:rFonts w:cs="Arial"/>
                <w:szCs w:val="22"/>
              </w:rPr>
              <w:t>d</w:t>
            </w:r>
            <w:r w:rsidR="001D7B08" w:rsidRPr="006911E1">
              <w:rPr>
                <w:rFonts w:cs="Arial"/>
                <w:szCs w:val="22"/>
              </w:rPr>
              <w:t xml:space="preserve">ivision of </w:t>
            </w:r>
            <w:r w:rsidR="00FA7505" w:rsidRPr="006911E1">
              <w:rPr>
                <w:rFonts w:cs="Arial"/>
                <w:szCs w:val="22"/>
              </w:rPr>
              <w:t xml:space="preserve">Haslemere </w:t>
            </w:r>
            <w:r w:rsidR="00C01589" w:rsidRPr="006911E1">
              <w:rPr>
                <w:rFonts w:cs="Arial"/>
                <w:szCs w:val="22"/>
              </w:rPr>
              <w:t xml:space="preserve">borders Hampshire to the </w:t>
            </w:r>
            <w:r w:rsidR="00325851">
              <w:rPr>
                <w:rFonts w:cs="Arial"/>
                <w:szCs w:val="22"/>
              </w:rPr>
              <w:t>s</w:t>
            </w:r>
            <w:r w:rsidR="00DE3E28" w:rsidRPr="006911E1">
              <w:rPr>
                <w:rFonts w:cs="Arial"/>
                <w:szCs w:val="22"/>
              </w:rPr>
              <w:t xml:space="preserve">outh and the </w:t>
            </w:r>
            <w:r w:rsidR="00325851">
              <w:rPr>
                <w:rFonts w:cs="Arial"/>
                <w:szCs w:val="22"/>
              </w:rPr>
              <w:t>e</w:t>
            </w:r>
            <w:r w:rsidR="00DE3E28" w:rsidRPr="006911E1">
              <w:rPr>
                <w:rFonts w:cs="Arial"/>
                <w:szCs w:val="22"/>
              </w:rPr>
              <w:t xml:space="preserve">ast, with the </w:t>
            </w:r>
            <w:r w:rsidR="007B43F6">
              <w:rPr>
                <w:rFonts w:cs="Arial"/>
                <w:szCs w:val="22"/>
              </w:rPr>
              <w:t>d</w:t>
            </w:r>
            <w:r w:rsidR="00DE3E28" w:rsidRPr="006911E1">
              <w:rPr>
                <w:rFonts w:cs="Arial"/>
                <w:szCs w:val="22"/>
              </w:rPr>
              <w:t xml:space="preserve">ivision of Waverley Western Villages to the </w:t>
            </w:r>
            <w:r w:rsidR="00325851">
              <w:rPr>
                <w:rFonts w:cs="Arial"/>
                <w:szCs w:val="22"/>
              </w:rPr>
              <w:t>n</w:t>
            </w:r>
            <w:r w:rsidR="00DE3E28" w:rsidRPr="006911E1">
              <w:rPr>
                <w:rFonts w:cs="Arial"/>
                <w:szCs w:val="22"/>
              </w:rPr>
              <w:t>orth. However, Waverley Western Villages is also</w:t>
            </w:r>
            <w:r w:rsidR="001B19CC">
              <w:rPr>
                <w:rFonts w:cs="Arial"/>
                <w:szCs w:val="22"/>
              </w:rPr>
              <w:t xml:space="preserve"> projected to be outside the electoral variance tolerance</w:t>
            </w:r>
            <w:r w:rsidR="00DE3E28" w:rsidRPr="006911E1">
              <w:rPr>
                <w:rFonts w:cs="Arial"/>
                <w:szCs w:val="22"/>
              </w:rPr>
              <w:t xml:space="preserve"> at -14%. </w:t>
            </w:r>
            <w:r w:rsidR="001D7B08" w:rsidRPr="006911E1">
              <w:rPr>
                <w:rFonts w:cs="Arial"/>
                <w:szCs w:val="22"/>
              </w:rPr>
              <w:t xml:space="preserve">This leaves Waverley Eastern Villages </w:t>
            </w:r>
            <w:r w:rsidR="007B43F6">
              <w:rPr>
                <w:rFonts w:cs="Arial"/>
                <w:szCs w:val="22"/>
              </w:rPr>
              <w:t>d</w:t>
            </w:r>
            <w:r w:rsidR="001D7B08" w:rsidRPr="006911E1">
              <w:rPr>
                <w:rFonts w:cs="Arial"/>
                <w:szCs w:val="22"/>
              </w:rPr>
              <w:t xml:space="preserve">ivision to the </w:t>
            </w:r>
            <w:r w:rsidR="00B97C47">
              <w:rPr>
                <w:rFonts w:cs="Arial"/>
                <w:szCs w:val="22"/>
              </w:rPr>
              <w:t>e</w:t>
            </w:r>
            <w:r w:rsidR="001D7B08" w:rsidRPr="006911E1">
              <w:rPr>
                <w:rFonts w:cs="Arial"/>
                <w:szCs w:val="22"/>
              </w:rPr>
              <w:t xml:space="preserve">ast as the only </w:t>
            </w:r>
            <w:r w:rsidR="003C4CCA" w:rsidRPr="006911E1">
              <w:rPr>
                <w:rFonts w:cs="Arial"/>
                <w:szCs w:val="22"/>
              </w:rPr>
              <w:t xml:space="preserve">real option to address the electoral variance in Haslemere. </w:t>
            </w:r>
          </w:p>
          <w:p w14:paraId="72E82878" w14:textId="77777777" w:rsidR="007B43F6" w:rsidRDefault="007B43F6" w:rsidP="006911E1">
            <w:pPr>
              <w:ind w:left="60"/>
              <w:rPr>
                <w:rFonts w:cs="Arial"/>
                <w:szCs w:val="22"/>
              </w:rPr>
            </w:pPr>
          </w:p>
          <w:p w14:paraId="62AD2CBD" w14:textId="69AB0396" w:rsidR="00CE4BBE" w:rsidRPr="006911E1" w:rsidRDefault="00A72AF7" w:rsidP="006911E1">
            <w:pPr>
              <w:ind w:left="60"/>
              <w:rPr>
                <w:rFonts w:cs="Arial"/>
                <w:szCs w:val="22"/>
              </w:rPr>
            </w:pPr>
            <w:r w:rsidRPr="006911E1">
              <w:rPr>
                <w:rFonts w:cs="Arial"/>
                <w:szCs w:val="22"/>
              </w:rPr>
              <w:t xml:space="preserve">The neighbouring </w:t>
            </w:r>
            <w:r w:rsidR="007B43F6">
              <w:rPr>
                <w:rFonts w:cs="Arial"/>
                <w:szCs w:val="22"/>
              </w:rPr>
              <w:t>p</w:t>
            </w:r>
            <w:r w:rsidRPr="006911E1">
              <w:rPr>
                <w:rFonts w:cs="Arial"/>
                <w:szCs w:val="22"/>
              </w:rPr>
              <w:t xml:space="preserve">arish is Chiddingfold, however, it is too large to </w:t>
            </w:r>
            <w:r w:rsidR="007E1355" w:rsidRPr="006911E1">
              <w:rPr>
                <w:rFonts w:cs="Arial"/>
                <w:szCs w:val="22"/>
              </w:rPr>
              <w:t xml:space="preserve">move </w:t>
            </w:r>
            <w:r w:rsidR="00B97C47">
              <w:rPr>
                <w:rFonts w:cs="Arial"/>
                <w:szCs w:val="22"/>
              </w:rPr>
              <w:t>into</w:t>
            </w:r>
            <w:r w:rsidR="007E1355" w:rsidRPr="006911E1">
              <w:rPr>
                <w:rFonts w:cs="Arial"/>
                <w:szCs w:val="22"/>
              </w:rPr>
              <w:t xml:space="preserve"> Haslemere </w:t>
            </w:r>
            <w:r w:rsidR="007B43F6">
              <w:rPr>
                <w:rFonts w:cs="Arial"/>
                <w:szCs w:val="22"/>
              </w:rPr>
              <w:t>d</w:t>
            </w:r>
            <w:r w:rsidR="007E1355" w:rsidRPr="006911E1">
              <w:rPr>
                <w:rFonts w:cs="Arial"/>
                <w:szCs w:val="22"/>
              </w:rPr>
              <w:t xml:space="preserve">ivision in </w:t>
            </w:r>
            <w:r w:rsidR="00B97C47" w:rsidRPr="006911E1">
              <w:rPr>
                <w:rFonts w:cs="Arial"/>
                <w:szCs w:val="22"/>
              </w:rPr>
              <w:t>its</w:t>
            </w:r>
            <w:r w:rsidR="007E1355" w:rsidRPr="006911E1">
              <w:rPr>
                <w:rFonts w:cs="Arial"/>
                <w:szCs w:val="22"/>
              </w:rPr>
              <w:t xml:space="preserve"> </w:t>
            </w:r>
            <w:r w:rsidR="007B43F6" w:rsidRPr="006911E1">
              <w:rPr>
                <w:rFonts w:cs="Arial"/>
                <w:szCs w:val="22"/>
              </w:rPr>
              <w:t>entirety</w:t>
            </w:r>
            <w:r w:rsidR="003F36D3" w:rsidRPr="006911E1">
              <w:rPr>
                <w:rFonts w:cs="Arial"/>
                <w:szCs w:val="22"/>
              </w:rPr>
              <w:t xml:space="preserve">, hence the </w:t>
            </w:r>
            <w:r w:rsidR="007B43F6">
              <w:rPr>
                <w:rFonts w:cs="Arial"/>
                <w:szCs w:val="22"/>
              </w:rPr>
              <w:t>t</w:t>
            </w:r>
            <w:r w:rsidR="003F36D3" w:rsidRPr="006911E1">
              <w:rPr>
                <w:rFonts w:cs="Arial"/>
                <w:szCs w:val="22"/>
              </w:rPr>
              <w:t xml:space="preserve">ask </w:t>
            </w:r>
            <w:r w:rsidR="007B43F6">
              <w:rPr>
                <w:rFonts w:cs="Arial"/>
                <w:szCs w:val="22"/>
              </w:rPr>
              <w:t>g</w:t>
            </w:r>
            <w:r w:rsidR="003F36D3" w:rsidRPr="006911E1">
              <w:rPr>
                <w:rFonts w:cs="Arial"/>
                <w:szCs w:val="22"/>
              </w:rPr>
              <w:t>roup’s suggestion that around 800 voters are moved</w:t>
            </w:r>
            <w:r w:rsidR="007B43F6">
              <w:rPr>
                <w:rFonts w:cs="Arial"/>
                <w:szCs w:val="22"/>
              </w:rPr>
              <w:t xml:space="preserve"> from </w:t>
            </w:r>
            <w:r w:rsidR="00CE4BBE" w:rsidRPr="006911E1">
              <w:rPr>
                <w:rFonts w:cs="Arial"/>
                <w:szCs w:val="22"/>
              </w:rPr>
              <w:t xml:space="preserve">Chiddingfold Parish into Haslemere </w:t>
            </w:r>
            <w:r w:rsidR="00B97C47">
              <w:rPr>
                <w:rFonts w:cs="Arial"/>
                <w:szCs w:val="22"/>
              </w:rPr>
              <w:t>d</w:t>
            </w:r>
            <w:r w:rsidR="00CE4BBE" w:rsidRPr="006911E1">
              <w:rPr>
                <w:rFonts w:cs="Arial"/>
                <w:szCs w:val="22"/>
              </w:rPr>
              <w:t>ivision. This would leave Waverley Eastern Villages with a variance of -10% (which would likely be addressed in the future by the Dunsfold Park development) and Haslemere with a variance of -7%. </w:t>
            </w:r>
            <w:r w:rsidR="00A562DB">
              <w:rPr>
                <w:rFonts w:cs="Arial"/>
                <w:szCs w:val="22"/>
              </w:rPr>
              <w:t xml:space="preserve">However, the task group is aware that this could have a negative impact on community identity, with the parish being split between two divisions. </w:t>
            </w:r>
          </w:p>
          <w:p w14:paraId="6E1ECC4F" w14:textId="2E90F4ED" w:rsidR="00CE4BBE" w:rsidRDefault="00CE4BBE" w:rsidP="006911E1">
            <w:pPr>
              <w:ind w:left="60"/>
              <w:rPr>
                <w:rFonts w:cs="Arial"/>
                <w:szCs w:val="22"/>
              </w:rPr>
            </w:pPr>
          </w:p>
          <w:p w14:paraId="67D2BF70" w14:textId="555DF66B" w:rsidR="00D0143F" w:rsidRPr="006911E1" w:rsidRDefault="00C00134" w:rsidP="0051396F">
            <w:pPr>
              <w:ind w:left="60"/>
              <w:rPr>
                <w:rFonts w:cs="Arial"/>
                <w:szCs w:val="22"/>
              </w:rPr>
            </w:pPr>
            <w:r w:rsidRPr="006911E1">
              <w:rPr>
                <w:rFonts w:cs="Arial"/>
                <w:szCs w:val="22"/>
              </w:rPr>
              <w:t xml:space="preserve">As it has not been possible to engage with the </w:t>
            </w:r>
            <w:r w:rsidR="00D0143F" w:rsidRPr="006911E1">
              <w:rPr>
                <w:rFonts w:cs="Arial"/>
                <w:szCs w:val="22"/>
              </w:rPr>
              <w:t xml:space="preserve">local electoral services team regarding where this split </w:t>
            </w:r>
            <w:r w:rsidR="00F57C28">
              <w:rPr>
                <w:rFonts w:cs="Arial"/>
                <w:szCs w:val="22"/>
              </w:rPr>
              <w:t>could</w:t>
            </w:r>
            <w:r w:rsidR="00D0143F" w:rsidRPr="006911E1">
              <w:rPr>
                <w:rFonts w:cs="Arial"/>
                <w:szCs w:val="22"/>
              </w:rPr>
              <w:t xml:space="preserve"> sit,</w:t>
            </w:r>
            <w:r w:rsidRPr="006911E1">
              <w:rPr>
                <w:rFonts w:cs="Arial"/>
                <w:szCs w:val="22"/>
              </w:rPr>
              <w:t xml:space="preserve"> the </w:t>
            </w:r>
            <w:r w:rsidR="0051396F">
              <w:rPr>
                <w:rFonts w:cs="Arial"/>
                <w:szCs w:val="22"/>
              </w:rPr>
              <w:t xml:space="preserve">task group recommends </w:t>
            </w:r>
            <w:r w:rsidR="00334279" w:rsidRPr="006911E1">
              <w:rPr>
                <w:rFonts w:cs="Arial"/>
                <w:szCs w:val="22"/>
              </w:rPr>
              <w:t xml:space="preserve">that the Commission considers this option further, </w:t>
            </w:r>
            <w:r w:rsidR="0051396F">
              <w:rPr>
                <w:rFonts w:cs="Arial"/>
                <w:szCs w:val="22"/>
              </w:rPr>
              <w:t xml:space="preserve">potentially </w:t>
            </w:r>
            <w:r w:rsidR="00334279" w:rsidRPr="006911E1">
              <w:rPr>
                <w:rFonts w:cs="Arial"/>
                <w:szCs w:val="22"/>
              </w:rPr>
              <w:t xml:space="preserve">working with Chiddingfold Parish Council to see if there is a way to split the </w:t>
            </w:r>
            <w:r w:rsidR="0051396F">
              <w:rPr>
                <w:rFonts w:cs="Arial"/>
                <w:szCs w:val="22"/>
              </w:rPr>
              <w:t>p</w:t>
            </w:r>
            <w:r w:rsidR="00334279" w:rsidRPr="006911E1">
              <w:rPr>
                <w:rFonts w:cs="Arial"/>
                <w:szCs w:val="22"/>
              </w:rPr>
              <w:t>arish into two wards.</w:t>
            </w:r>
            <w:r w:rsidR="0051396F">
              <w:rPr>
                <w:rFonts w:cs="Arial"/>
                <w:szCs w:val="22"/>
              </w:rPr>
              <w:t xml:space="preserve"> </w:t>
            </w:r>
            <w:r w:rsidR="00D0143F" w:rsidRPr="006911E1">
              <w:rPr>
                <w:rFonts w:cs="Arial"/>
                <w:szCs w:val="22"/>
              </w:rPr>
              <w:t xml:space="preserve">An obvious geographical </w:t>
            </w:r>
            <w:r w:rsidR="0051396F">
              <w:rPr>
                <w:rFonts w:cs="Arial"/>
                <w:szCs w:val="22"/>
              </w:rPr>
              <w:t>dividing line</w:t>
            </w:r>
            <w:r w:rsidR="00D0143F" w:rsidRPr="006911E1">
              <w:rPr>
                <w:rFonts w:cs="Arial"/>
                <w:szCs w:val="22"/>
              </w:rPr>
              <w:t xml:space="preserve"> would be the A283 that runs down the centre of Chiddingfold, however, as</w:t>
            </w:r>
            <w:r w:rsidR="001D1602">
              <w:rPr>
                <w:rFonts w:cs="Arial"/>
                <w:szCs w:val="22"/>
              </w:rPr>
              <w:t xml:space="preserve"> the majority of the parish’s</w:t>
            </w:r>
            <w:r w:rsidR="00D0143F" w:rsidRPr="006911E1">
              <w:rPr>
                <w:rFonts w:cs="Arial"/>
                <w:szCs w:val="22"/>
              </w:rPr>
              <w:t xml:space="preserve"> population </w:t>
            </w:r>
            <w:r w:rsidR="001D1602">
              <w:rPr>
                <w:rFonts w:cs="Arial"/>
                <w:szCs w:val="22"/>
              </w:rPr>
              <w:t>appears</w:t>
            </w:r>
            <w:r w:rsidR="00D0143F" w:rsidRPr="006911E1">
              <w:rPr>
                <w:rFonts w:cs="Arial"/>
                <w:szCs w:val="22"/>
              </w:rPr>
              <w:t xml:space="preserve"> to the </w:t>
            </w:r>
            <w:r w:rsidR="00934987" w:rsidRPr="006911E1">
              <w:rPr>
                <w:rFonts w:cs="Arial"/>
                <w:szCs w:val="22"/>
              </w:rPr>
              <w:t>west</w:t>
            </w:r>
            <w:r w:rsidR="00D0143F" w:rsidRPr="006911E1">
              <w:rPr>
                <w:rFonts w:cs="Arial"/>
                <w:szCs w:val="22"/>
              </w:rPr>
              <w:t xml:space="preserve"> of this road, it might no</w:t>
            </w:r>
            <w:r w:rsidR="00934987" w:rsidRPr="006911E1">
              <w:rPr>
                <w:rFonts w:cs="Arial"/>
                <w:szCs w:val="22"/>
              </w:rPr>
              <w:t xml:space="preserve">t </w:t>
            </w:r>
            <w:r w:rsidR="00D0143F" w:rsidRPr="006911E1">
              <w:rPr>
                <w:rFonts w:cs="Arial"/>
                <w:szCs w:val="22"/>
              </w:rPr>
              <w:t>work on an electoral variance basis.</w:t>
            </w:r>
          </w:p>
          <w:p w14:paraId="0A10F640" w14:textId="77777777" w:rsidR="00CE4BBE" w:rsidRPr="00CE4BBE" w:rsidRDefault="00CE4BBE" w:rsidP="006911E1">
            <w:pPr>
              <w:ind w:left="60"/>
              <w:rPr>
                <w:rFonts w:cs="Arial"/>
                <w:szCs w:val="22"/>
              </w:rPr>
            </w:pPr>
          </w:p>
          <w:p w14:paraId="34D9E313" w14:textId="1BF6715A" w:rsidR="004E6FBE" w:rsidRPr="006911E1" w:rsidRDefault="00CE4BBE" w:rsidP="004A67F5">
            <w:pPr>
              <w:ind w:left="60"/>
              <w:rPr>
                <w:rFonts w:cs="Arial"/>
                <w:szCs w:val="22"/>
              </w:rPr>
            </w:pPr>
            <w:r w:rsidRPr="006911E1">
              <w:rPr>
                <w:rFonts w:cs="Arial"/>
                <w:szCs w:val="22"/>
              </w:rPr>
              <w:t xml:space="preserve"> </w:t>
            </w:r>
            <w:r w:rsidR="003F36D3" w:rsidRPr="006911E1">
              <w:rPr>
                <w:rFonts w:cs="Arial"/>
                <w:szCs w:val="22"/>
              </w:rPr>
              <w:t xml:space="preserve"> </w:t>
            </w:r>
          </w:p>
        </w:tc>
      </w:tr>
      <w:tr w:rsidR="00E73AAC" w14:paraId="03669B0D" w14:textId="77777777" w:rsidTr="00246156">
        <w:tc>
          <w:tcPr>
            <w:tcW w:w="2950" w:type="dxa"/>
          </w:tcPr>
          <w:p w14:paraId="7D99E831" w14:textId="77777777" w:rsidR="00AF59F5" w:rsidRPr="00AF59F5" w:rsidRDefault="00AF59F5" w:rsidP="00AF59F5">
            <w:pPr>
              <w:spacing w:before="240"/>
              <w:jc w:val="center"/>
              <w:rPr>
                <w:b/>
                <w:bCs/>
              </w:rPr>
            </w:pPr>
            <w:r w:rsidRPr="00AF59F5">
              <w:rPr>
                <w:b/>
                <w:bCs/>
              </w:rPr>
              <w:t>Waverley Eastern Villages</w:t>
            </w:r>
          </w:p>
        </w:tc>
        <w:tc>
          <w:tcPr>
            <w:tcW w:w="1319" w:type="dxa"/>
            <w:vAlign w:val="center"/>
          </w:tcPr>
          <w:p w14:paraId="146D96B7" w14:textId="67D10CCC" w:rsidR="00AF59F5" w:rsidRPr="00F847C2" w:rsidRDefault="00AF59F5" w:rsidP="00AF59F5">
            <w:pPr>
              <w:spacing w:before="240"/>
              <w:jc w:val="center"/>
              <w:rPr>
                <w:highlight w:val="yellow"/>
              </w:rPr>
            </w:pPr>
            <w:r>
              <w:rPr>
                <w:rFonts w:cs="Arial"/>
              </w:rPr>
              <w:t>11,540</w:t>
            </w:r>
          </w:p>
        </w:tc>
        <w:tc>
          <w:tcPr>
            <w:tcW w:w="1777" w:type="dxa"/>
            <w:vAlign w:val="center"/>
          </w:tcPr>
          <w:p w14:paraId="4B3BA825" w14:textId="4AC186C3" w:rsidR="00AF59F5" w:rsidRPr="003203AB" w:rsidRDefault="003561A1" w:rsidP="003561A1">
            <w:pPr>
              <w:pStyle w:val="ListParagraph"/>
              <w:numPr>
                <w:ilvl w:val="0"/>
                <w:numId w:val="19"/>
              </w:numPr>
              <w:spacing w:before="240"/>
              <w:rPr>
                <w:rFonts w:ascii="Arial" w:hAnsi="Arial" w:cs="Arial"/>
              </w:rPr>
            </w:pPr>
            <w:r w:rsidRPr="003203AB">
              <w:rPr>
                <w:rFonts w:ascii="Arial" w:hAnsi="Arial" w:cs="Arial"/>
              </w:rPr>
              <w:t>10</w:t>
            </w:r>
            <w:r w:rsidR="00AF59F5" w:rsidRPr="003203AB">
              <w:rPr>
                <w:rFonts w:ascii="Arial" w:hAnsi="Arial" w:cs="Arial"/>
              </w:rPr>
              <w:t>%</w:t>
            </w:r>
          </w:p>
        </w:tc>
        <w:tc>
          <w:tcPr>
            <w:tcW w:w="8833" w:type="dxa"/>
          </w:tcPr>
          <w:p w14:paraId="3834CBF7" w14:textId="024DEDA4" w:rsidR="00AF59F5" w:rsidRDefault="00AF59F5" w:rsidP="003724EF">
            <w:pPr>
              <w:rPr>
                <w:szCs w:val="22"/>
              </w:rPr>
            </w:pPr>
          </w:p>
          <w:p w14:paraId="64795848" w14:textId="77777777" w:rsidR="001650F1" w:rsidRPr="001650F1" w:rsidRDefault="001650F1" w:rsidP="001650F1">
            <w:pPr>
              <w:rPr>
                <w:szCs w:val="22"/>
              </w:rPr>
            </w:pPr>
          </w:p>
          <w:p w14:paraId="1E3CB8D8" w14:textId="77777777" w:rsidR="001650F1" w:rsidRPr="001650F1" w:rsidRDefault="001650F1" w:rsidP="001650F1">
            <w:pPr>
              <w:rPr>
                <w:szCs w:val="22"/>
              </w:rPr>
            </w:pPr>
            <w:r w:rsidRPr="001650F1">
              <w:rPr>
                <w:szCs w:val="22"/>
              </w:rPr>
              <w:t>The Division of Waverley Eastern Villages is geographically large and rural in its nature.  It covers eight parishes – Wonersh, Bramley, Busbridge, Hambledon, Hascombe, Chiddingfold, Dunsfold and Alfold – each with their own active parish councils.  The communities within the Division have a rural character in common, and the boundary with Waverley Western Villages is marked, not only by a zone containing the A3, but a geological contrast along much of its length between Wealden clay in the east and sandy heathland to the west.</w:t>
            </w:r>
          </w:p>
          <w:p w14:paraId="1A8C0585" w14:textId="77777777" w:rsidR="001650F1" w:rsidRPr="001650F1" w:rsidRDefault="001650F1" w:rsidP="001650F1">
            <w:pPr>
              <w:rPr>
                <w:szCs w:val="22"/>
              </w:rPr>
            </w:pPr>
          </w:p>
          <w:p w14:paraId="08BC8AFF" w14:textId="77777777" w:rsidR="001650F1" w:rsidRPr="001650F1" w:rsidRDefault="001650F1" w:rsidP="001650F1">
            <w:pPr>
              <w:rPr>
                <w:szCs w:val="22"/>
              </w:rPr>
            </w:pPr>
            <w:r w:rsidRPr="001650F1">
              <w:rPr>
                <w:szCs w:val="22"/>
              </w:rPr>
              <w:t>The Division’s boundary to the north is the border with Guildford, and then with the urban area of Godalming and the more built-up areas contained within the parish of Witley (which also contains Milford).  The south boundary follows the County Border.   The eastern and western boundaries are co-terminous with parish boundaries, with the majority of the western boundary running parallel to a railway line.</w:t>
            </w:r>
          </w:p>
          <w:p w14:paraId="02A24EF9" w14:textId="415332CF" w:rsidR="001650F1" w:rsidRDefault="001650F1" w:rsidP="003724EF">
            <w:pPr>
              <w:rPr>
                <w:szCs w:val="22"/>
              </w:rPr>
            </w:pPr>
          </w:p>
          <w:p w14:paraId="012A8D2E" w14:textId="16134A69" w:rsidR="003724EF" w:rsidRPr="003203AB" w:rsidRDefault="003561A1" w:rsidP="003724EF">
            <w:pPr>
              <w:rPr>
                <w:szCs w:val="22"/>
              </w:rPr>
            </w:pPr>
            <w:r w:rsidRPr="003203AB">
              <w:rPr>
                <w:szCs w:val="22"/>
              </w:rPr>
              <w:t>As set out above, it is proposed that part of the Parish of Chiddingfold is moved into Haslemere</w:t>
            </w:r>
            <w:r w:rsidR="004A67F5" w:rsidRPr="003203AB">
              <w:rPr>
                <w:szCs w:val="22"/>
              </w:rPr>
              <w:t xml:space="preserve"> division</w:t>
            </w:r>
            <w:r w:rsidRPr="003203AB">
              <w:rPr>
                <w:szCs w:val="22"/>
              </w:rPr>
              <w:t xml:space="preserve"> to address </w:t>
            </w:r>
            <w:r w:rsidR="00AD2326" w:rsidRPr="003203AB">
              <w:rPr>
                <w:szCs w:val="22"/>
              </w:rPr>
              <w:t xml:space="preserve">the </w:t>
            </w:r>
            <w:r w:rsidR="004A67F5" w:rsidRPr="003203AB">
              <w:rPr>
                <w:szCs w:val="22"/>
              </w:rPr>
              <w:t>projected electoral variance in Haslemere</w:t>
            </w:r>
            <w:r w:rsidR="00AD2326" w:rsidRPr="003203AB">
              <w:rPr>
                <w:szCs w:val="22"/>
              </w:rPr>
              <w:t xml:space="preserve">. A move of around 800 voters would leave Waverley Eastern Villages on -10%, however, it is anticipated that this variance would be addressed in the future by the planned Dunsfold Park Development. </w:t>
            </w:r>
            <w:r w:rsidR="00EF7614">
              <w:rPr>
                <w:szCs w:val="22"/>
              </w:rPr>
              <w:t xml:space="preserve">We have not been able to engage with the Waverley Borough Council, to establish how much of this development has been included in the 2029 </w:t>
            </w:r>
            <w:r w:rsidR="00BF0034">
              <w:rPr>
                <w:szCs w:val="22"/>
              </w:rPr>
              <w:t>electorate figures but</w:t>
            </w:r>
            <w:r w:rsidR="009E4725">
              <w:rPr>
                <w:szCs w:val="22"/>
              </w:rPr>
              <w:t xml:space="preserve"> in total 2,600 homes are predicted to be built</w:t>
            </w:r>
            <w:r w:rsidR="00DF167D">
              <w:rPr>
                <w:szCs w:val="22"/>
              </w:rPr>
              <w:t xml:space="preserve"> on this site.</w:t>
            </w:r>
          </w:p>
          <w:p w14:paraId="244B9A2E" w14:textId="20A1FB18" w:rsidR="003724EF" w:rsidRPr="003203AB" w:rsidRDefault="003724EF" w:rsidP="003724EF">
            <w:pPr>
              <w:rPr>
                <w:szCs w:val="22"/>
              </w:rPr>
            </w:pPr>
          </w:p>
        </w:tc>
      </w:tr>
      <w:tr w:rsidR="00E73AAC" w14:paraId="5C217E1E" w14:textId="77777777" w:rsidTr="00246156">
        <w:tc>
          <w:tcPr>
            <w:tcW w:w="2950" w:type="dxa"/>
          </w:tcPr>
          <w:p w14:paraId="1256E804" w14:textId="21266E13" w:rsidR="00AF59F5" w:rsidRPr="00AF59F5" w:rsidRDefault="00AF59F5" w:rsidP="00AF59F5">
            <w:pPr>
              <w:spacing w:before="240"/>
              <w:jc w:val="center"/>
              <w:rPr>
                <w:b/>
                <w:bCs/>
              </w:rPr>
            </w:pPr>
            <w:r w:rsidRPr="00AF59F5">
              <w:rPr>
                <w:b/>
                <w:bCs/>
              </w:rPr>
              <w:t>Waverley Western Villages</w:t>
            </w:r>
          </w:p>
        </w:tc>
        <w:tc>
          <w:tcPr>
            <w:tcW w:w="1319" w:type="dxa"/>
            <w:vAlign w:val="center"/>
          </w:tcPr>
          <w:p w14:paraId="2B0F8DF6" w14:textId="01FDBCDE" w:rsidR="00AF59F5" w:rsidRPr="00F847C2" w:rsidRDefault="00AF59F5" w:rsidP="00AF59F5">
            <w:pPr>
              <w:spacing w:before="240"/>
              <w:jc w:val="center"/>
              <w:rPr>
                <w:highlight w:val="yellow"/>
              </w:rPr>
            </w:pPr>
            <w:r>
              <w:rPr>
                <w:rFonts w:cs="Arial"/>
              </w:rPr>
              <w:t>10,191</w:t>
            </w:r>
          </w:p>
        </w:tc>
        <w:tc>
          <w:tcPr>
            <w:tcW w:w="1777" w:type="dxa"/>
            <w:vAlign w:val="center"/>
          </w:tcPr>
          <w:p w14:paraId="0EC5EC2A" w14:textId="76CFC354" w:rsidR="00AF59F5" w:rsidRPr="00F847C2" w:rsidRDefault="00AF59F5" w:rsidP="00AF59F5">
            <w:pPr>
              <w:spacing w:before="240"/>
              <w:jc w:val="center"/>
              <w:rPr>
                <w:highlight w:val="yellow"/>
              </w:rPr>
            </w:pPr>
            <w:r>
              <w:rPr>
                <w:rFonts w:cs="Arial"/>
              </w:rPr>
              <w:t>-14%</w:t>
            </w:r>
          </w:p>
        </w:tc>
        <w:tc>
          <w:tcPr>
            <w:tcW w:w="8833" w:type="dxa"/>
          </w:tcPr>
          <w:p w14:paraId="4AD5AD58" w14:textId="77777777" w:rsidR="00AF59F5" w:rsidRPr="003929FD" w:rsidRDefault="00AF59F5" w:rsidP="00AF59F5">
            <w:pPr>
              <w:pStyle w:val="BodyText2"/>
              <w:rPr>
                <w:szCs w:val="22"/>
              </w:rPr>
            </w:pPr>
          </w:p>
          <w:p w14:paraId="2E21061B" w14:textId="77777777" w:rsidR="002C198D" w:rsidRDefault="005E184C" w:rsidP="00AF59F5">
            <w:pPr>
              <w:pStyle w:val="BodyText2"/>
              <w:rPr>
                <w:szCs w:val="22"/>
              </w:rPr>
            </w:pPr>
            <w:r w:rsidRPr="003929FD">
              <w:rPr>
                <w:szCs w:val="22"/>
              </w:rPr>
              <w:t>Waverley Western Villages is a large rural division which is projected to be -14% outside electoral equality</w:t>
            </w:r>
            <w:r w:rsidR="004340C2" w:rsidRPr="003929FD">
              <w:rPr>
                <w:szCs w:val="22"/>
              </w:rPr>
              <w:t xml:space="preserve"> by 2029.</w:t>
            </w:r>
            <w:r w:rsidR="001D1A72" w:rsidRPr="003929FD">
              <w:rPr>
                <w:szCs w:val="22"/>
              </w:rPr>
              <w:t xml:space="preserve"> Like Haslemere, it is a challenging</w:t>
            </w:r>
            <w:r w:rsidR="00A612EB" w:rsidRPr="003929FD">
              <w:rPr>
                <w:szCs w:val="22"/>
              </w:rPr>
              <w:t xml:space="preserve"> variance to address, given that Waverley Western Villages borders Hampshire </w:t>
            </w:r>
            <w:r w:rsidR="005E6F31" w:rsidRPr="003929FD">
              <w:rPr>
                <w:szCs w:val="22"/>
              </w:rPr>
              <w:t xml:space="preserve">to the </w:t>
            </w:r>
            <w:r w:rsidR="00AB3E11">
              <w:rPr>
                <w:szCs w:val="22"/>
              </w:rPr>
              <w:t>w</w:t>
            </w:r>
            <w:r w:rsidR="005E6F31" w:rsidRPr="003929FD">
              <w:rPr>
                <w:szCs w:val="22"/>
              </w:rPr>
              <w:t xml:space="preserve">est, Farnham (which is seen as a distinct community) </w:t>
            </w:r>
            <w:r w:rsidR="00156858" w:rsidRPr="003929FD">
              <w:rPr>
                <w:szCs w:val="22"/>
              </w:rPr>
              <w:t xml:space="preserve">to the </w:t>
            </w:r>
            <w:r w:rsidR="00AB3E11">
              <w:rPr>
                <w:szCs w:val="22"/>
              </w:rPr>
              <w:t>n</w:t>
            </w:r>
            <w:r w:rsidR="00156858" w:rsidRPr="003929FD">
              <w:rPr>
                <w:szCs w:val="22"/>
              </w:rPr>
              <w:t>orth-</w:t>
            </w:r>
            <w:r w:rsidR="00AB3E11">
              <w:rPr>
                <w:szCs w:val="22"/>
              </w:rPr>
              <w:t>w</w:t>
            </w:r>
            <w:r w:rsidR="00156858" w:rsidRPr="003929FD">
              <w:rPr>
                <w:szCs w:val="22"/>
              </w:rPr>
              <w:t xml:space="preserve">est, </w:t>
            </w:r>
            <w:r w:rsidR="00574B26" w:rsidRPr="003929FD">
              <w:rPr>
                <w:szCs w:val="22"/>
              </w:rPr>
              <w:t xml:space="preserve">Guildford to the </w:t>
            </w:r>
            <w:r w:rsidR="00AB3E11">
              <w:rPr>
                <w:szCs w:val="22"/>
              </w:rPr>
              <w:t>n</w:t>
            </w:r>
            <w:r w:rsidR="00574B26" w:rsidRPr="003929FD">
              <w:rPr>
                <w:szCs w:val="22"/>
              </w:rPr>
              <w:t xml:space="preserve">orth and Haslemere (which is also below variance) to the </w:t>
            </w:r>
            <w:r w:rsidR="00AB3E11">
              <w:rPr>
                <w:szCs w:val="22"/>
              </w:rPr>
              <w:t>s</w:t>
            </w:r>
            <w:r w:rsidR="00574B26" w:rsidRPr="003929FD">
              <w:rPr>
                <w:szCs w:val="22"/>
              </w:rPr>
              <w:t xml:space="preserve">outh. </w:t>
            </w:r>
          </w:p>
          <w:p w14:paraId="0432A989" w14:textId="77777777" w:rsidR="002C198D" w:rsidRDefault="002C198D" w:rsidP="00AF59F5">
            <w:pPr>
              <w:pStyle w:val="BodyText2"/>
              <w:rPr>
                <w:szCs w:val="22"/>
              </w:rPr>
            </w:pPr>
          </w:p>
          <w:p w14:paraId="414DF1C9" w14:textId="7DD26360" w:rsidR="004B2C1F" w:rsidRDefault="00574B26" w:rsidP="00AF59F5">
            <w:pPr>
              <w:pStyle w:val="BodyText2"/>
              <w:rPr>
                <w:szCs w:val="22"/>
              </w:rPr>
            </w:pPr>
            <w:r w:rsidRPr="003929FD">
              <w:rPr>
                <w:szCs w:val="22"/>
              </w:rPr>
              <w:t xml:space="preserve">This means that the only real option for addressing the variance </w:t>
            </w:r>
            <w:r w:rsidR="004B2C1F">
              <w:rPr>
                <w:szCs w:val="22"/>
              </w:rPr>
              <w:t>is to look east,</w:t>
            </w:r>
            <w:r w:rsidR="005F644D" w:rsidRPr="003929FD">
              <w:rPr>
                <w:szCs w:val="22"/>
              </w:rPr>
              <w:t xml:space="preserve"> with voters coming from either Waverley Eastern Villages or Godalming </w:t>
            </w:r>
            <w:r w:rsidR="005456BD" w:rsidRPr="003929FD">
              <w:rPr>
                <w:szCs w:val="22"/>
              </w:rPr>
              <w:t>South, Milford and Witley. As</w:t>
            </w:r>
            <w:r w:rsidR="0070467F" w:rsidRPr="003929FD">
              <w:rPr>
                <w:szCs w:val="22"/>
              </w:rPr>
              <w:t xml:space="preserve"> it has been suggested that part of Waverley Eastern Villages moves into Haslemere, this leaves Goldaming South, Milford and Witley </w:t>
            </w:r>
            <w:r w:rsidR="008C0567">
              <w:rPr>
                <w:szCs w:val="22"/>
              </w:rPr>
              <w:t>d</w:t>
            </w:r>
            <w:r w:rsidR="0070467F" w:rsidRPr="003929FD">
              <w:rPr>
                <w:szCs w:val="22"/>
              </w:rPr>
              <w:t xml:space="preserve">ivision as the only option from which to draw voters to address the variance in Waverley Western Villages. </w:t>
            </w:r>
          </w:p>
          <w:p w14:paraId="7C7C6649" w14:textId="77777777" w:rsidR="004B2C1F" w:rsidRDefault="004B2C1F" w:rsidP="00AF59F5">
            <w:pPr>
              <w:pStyle w:val="BodyText2"/>
              <w:rPr>
                <w:szCs w:val="22"/>
              </w:rPr>
            </w:pPr>
          </w:p>
          <w:p w14:paraId="7E9899BF" w14:textId="52082B76" w:rsidR="003724EF" w:rsidRDefault="001805EB" w:rsidP="00AF59F5">
            <w:pPr>
              <w:pStyle w:val="BodyText2"/>
              <w:rPr>
                <w:szCs w:val="22"/>
              </w:rPr>
            </w:pPr>
            <w:r w:rsidRPr="003929FD">
              <w:rPr>
                <w:szCs w:val="22"/>
              </w:rPr>
              <w:t xml:space="preserve">The </w:t>
            </w:r>
            <w:r w:rsidR="002C198D">
              <w:rPr>
                <w:szCs w:val="22"/>
              </w:rPr>
              <w:t>t</w:t>
            </w:r>
            <w:r w:rsidRPr="003929FD">
              <w:rPr>
                <w:szCs w:val="22"/>
              </w:rPr>
              <w:t xml:space="preserve">ask </w:t>
            </w:r>
            <w:r w:rsidR="002C198D">
              <w:rPr>
                <w:szCs w:val="22"/>
              </w:rPr>
              <w:t>g</w:t>
            </w:r>
            <w:r w:rsidRPr="003929FD">
              <w:rPr>
                <w:szCs w:val="22"/>
              </w:rPr>
              <w:t>roup have not been able to explore this option in detail</w:t>
            </w:r>
            <w:r w:rsidR="00337628" w:rsidRPr="003929FD">
              <w:rPr>
                <w:szCs w:val="22"/>
              </w:rPr>
              <w:t xml:space="preserve"> to understand how it would work at a Parish Ward level but suggest that it may be possible to move part of Witley Parish into Waverley Western Villages. Witley Parish is already divided across Waverley Western Villages and </w:t>
            </w:r>
            <w:r w:rsidR="00117E04" w:rsidRPr="003929FD">
              <w:rPr>
                <w:szCs w:val="22"/>
              </w:rPr>
              <w:t>Godalming</w:t>
            </w:r>
            <w:r w:rsidR="00337628" w:rsidRPr="003929FD">
              <w:rPr>
                <w:szCs w:val="22"/>
              </w:rPr>
              <w:t xml:space="preserve"> South</w:t>
            </w:r>
            <w:r w:rsidR="00BC018A">
              <w:rPr>
                <w:szCs w:val="22"/>
              </w:rPr>
              <w:t xml:space="preserve"> divisions</w:t>
            </w:r>
            <w:r w:rsidR="003247A1" w:rsidRPr="003929FD">
              <w:rPr>
                <w:szCs w:val="22"/>
              </w:rPr>
              <w:t xml:space="preserve">. A movement of a further 600 or so voters would bring Waverley Western Villages into tolerance at </w:t>
            </w:r>
            <w:r w:rsidR="00745F75" w:rsidRPr="003929FD">
              <w:rPr>
                <w:szCs w:val="22"/>
              </w:rPr>
              <w:t xml:space="preserve">10%. However, in order not to move Goldaming South outside of tolerance, voters from Goldaming North would </w:t>
            </w:r>
            <w:r w:rsidR="00117E04">
              <w:rPr>
                <w:szCs w:val="22"/>
              </w:rPr>
              <w:t xml:space="preserve">also </w:t>
            </w:r>
            <w:r w:rsidR="00745F75" w:rsidRPr="003929FD">
              <w:rPr>
                <w:szCs w:val="22"/>
              </w:rPr>
              <w:t xml:space="preserve">need to be </w:t>
            </w:r>
            <w:r w:rsidR="00785FB7" w:rsidRPr="003929FD">
              <w:rPr>
                <w:szCs w:val="22"/>
              </w:rPr>
              <w:t xml:space="preserve">moved into </w:t>
            </w:r>
            <w:r w:rsidR="00367E05">
              <w:rPr>
                <w:szCs w:val="22"/>
              </w:rPr>
              <w:t xml:space="preserve">Goldaming </w:t>
            </w:r>
            <w:r w:rsidR="00785FB7" w:rsidRPr="003929FD">
              <w:rPr>
                <w:szCs w:val="22"/>
              </w:rPr>
              <w:t xml:space="preserve">South – for example from the GCOA </w:t>
            </w:r>
            <w:r w:rsidR="00BC018A">
              <w:rPr>
                <w:szCs w:val="22"/>
              </w:rPr>
              <w:t>p</w:t>
            </w:r>
            <w:r w:rsidR="00785FB7" w:rsidRPr="003929FD">
              <w:rPr>
                <w:szCs w:val="22"/>
              </w:rPr>
              <w:t xml:space="preserve">olling </w:t>
            </w:r>
            <w:r w:rsidR="00BC018A">
              <w:rPr>
                <w:szCs w:val="22"/>
              </w:rPr>
              <w:t>d</w:t>
            </w:r>
            <w:r w:rsidR="00785FB7" w:rsidRPr="003929FD">
              <w:rPr>
                <w:szCs w:val="22"/>
              </w:rPr>
              <w:t>istrict. The table below gives an example of the numbers</w:t>
            </w:r>
            <w:r w:rsidR="00CB325D">
              <w:rPr>
                <w:szCs w:val="22"/>
              </w:rPr>
              <w:t>:</w:t>
            </w:r>
          </w:p>
          <w:p w14:paraId="6E2859A2" w14:textId="1D03983C" w:rsidR="00CB325D" w:rsidRDefault="00CB325D" w:rsidP="00AF59F5">
            <w:pPr>
              <w:pStyle w:val="BodyText2"/>
              <w:rPr>
                <w:szCs w:val="22"/>
              </w:rPr>
            </w:pPr>
          </w:p>
          <w:p w14:paraId="2DF3FD5B" w14:textId="77777777" w:rsidR="00CB325D" w:rsidRPr="003929FD" w:rsidRDefault="00CB325D" w:rsidP="00AF59F5">
            <w:pPr>
              <w:pStyle w:val="BodyText2"/>
              <w:rPr>
                <w:szCs w:val="22"/>
              </w:rPr>
            </w:pPr>
          </w:p>
          <w:p w14:paraId="59CFD6FD" w14:textId="0C34CFF8" w:rsidR="00223013" w:rsidRPr="003929FD" w:rsidRDefault="00E73AAC" w:rsidP="00AF59F5">
            <w:pPr>
              <w:pStyle w:val="BodyText2"/>
              <w:rPr>
                <w:szCs w:val="22"/>
              </w:rPr>
            </w:pPr>
            <w:r w:rsidRPr="00E73AAC">
              <w:rPr>
                <w:noProof/>
                <w:szCs w:val="22"/>
              </w:rPr>
              <w:drawing>
                <wp:inline distT="0" distB="0" distL="0" distR="0" wp14:anchorId="611B0CE5" wp14:editId="00205F99">
                  <wp:extent cx="4678680" cy="3179629"/>
                  <wp:effectExtent l="0" t="0" r="762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09042" cy="3200263"/>
                          </a:xfrm>
                          <a:prstGeom prst="rect">
                            <a:avLst/>
                          </a:prstGeom>
                        </pic:spPr>
                      </pic:pic>
                    </a:graphicData>
                  </a:graphic>
                </wp:inline>
              </w:drawing>
            </w:r>
          </w:p>
          <w:p w14:paraId="20B508DB" w14:textId="0B409889" w:rsidR="003724EF" w:rsidRPr="003929FD" w:rsidRDefault="00223013" w:rsidP="00AF59F5">
            <w:pPr>
              <w:pStyle w:val="BodyText2"/>
              <w:rPr>
                <w:szCs w:val="22"/>
              </w:rPr>
            </w:pPr>
            <w:r w:rsidRPr="003929FD">
              <w:rPr>
                <w:szCs w:val="22"/>
              </w:rPr>
              <w:t xml:space="preserve">The </w:t>
            </w:r>
            <w:r w:rsidR="00BC018A">
              <w:rPr>
                <w:szCs w:val="22"/>
              </w:rPr>
              <w:t>t</w:t>
            </w:r>
            <w:r w:rsidRPr="003929FD">
              <w:rPr>
                <w:szCs w:val="22"/>
              </w:rPr>
              <w:t xml:space="preserve">ask </w:t>
            </w:r>
            <w:r w:rsidR="00BC018A">
              <w:rPr>
                <w:szCs w:val="22"/>
              </w:rPr>
              <w:t>g</w:t>
            </w:r>
            <w:r w:rsidRPr="003929FD">
              <w:rPr>
                <w:szCs w:val="22"/>
              </w:rPr>
              <w:t xml:space="preserve">roup </w:t>
            </w:r>
            <w:r w:rsidR="0018402E" w:rsidRPr="003929FD">
              <w:rPr>
                <w:szCs w:val="22"/>
              </w:rPr>
              <w:t>agreed to put this forward as a potential solution to the electoral variance in Waverley Western Villages but have not been able to</w:t>
            </w:r>
            <w:r w:rsidR="000B41D7" w:rsidRPr="003929FD">
              <w:rPr>
                <w:szCs w:val="22"/>
              </w:rPr>
              <w:t xml:space="preserve"> engage with the local electoral services team, or local Members for Godalming North and South, to get a feel for whether this is a practical suggestion in relation to community identity. It should also be noted that this suggestion </w:t>
            </w:r>
            <w:r w:rsidR="00BC018A">
              <w:rPr>
                <w:szCs w:val="22"/>
              </w:rPr>
              <w:t xml:space="preserve">has been </w:t>
            </w:r>
            <w:r w:rsidR="000B41D7" w:rsidRPr="003929FD">
              <w:rPr>
                <w:szCs w:val="22"/>
              </w:rPr>
              <w:t>opposed by the local Member for Waverley Western Villages</w:t>
            </w:r>
            <w:r w:rsidR="00A968A8">
              <w:rPr>
                <w:szCs w:val="22"/>
              </w:rPr>
              <w:t>.</w:t>
            </w:r>
          </w:p>
        </w:tc>
      </w:tr>
    </w:tbl>
    <w:p w14:paraId="0BF02675" w14:textId="77777777" w:rsidR="008256AD" w:rsidRPr="00F847C2" w:rsidRDefault="008256AD">
      <w:pPr>
        <w:pStyle w:val="Heading1"/>
        <w:numPr>
          <w:ilvl w:val="0"/>
          <w:numId w:val="0"/>
        </w:numPr>
        <w:rPr>
          <w:highlight w:val="yellow"/>
        </w:rPr>
      </w:pPr>
      <w:r>
        <w:br w:type="page"/>
      </w:r>
      <w:r w:rsidRPr="005728FA">
        <w:t>Woking</w:t>
      </w:r>
    </w:p>
    <w:p w14:paraId="17001D04" w14:textId="77777777" w:rsidR="008256AD" w:rsidRPr="00F847C2" w:rsidRDefault="008256AD">
      <w:pPr>
        <w:rPr>
          <w:highlight w:val="yellow"/>
        </w:rPr>
      </w:pPr>
    </w:p>
    <w:p w14:paraId="2F5CC22E" w14:textId="23569A51" w:rsidR="008256AD" w:rsidRPr="00F847C2" w:rsidRDefault="00664102">
      <w:pPr>
        <w:rPr>
          <w:highlight w:val="yellow"/>
        </w:rPr>
      </w:pPr>
      <w:r w:rsidRPr="00664102">
        <w:t>For Woking, the proposal is for seven divisions representing an electorate of 80,691. This would equate to an average electorate size for each division of 11,572.</w:t>
      </w:r>
    </w:p>
    <w:p w14:paraId="14921915" w14:textId="4C7BDB66" w:rsidR="008256AD" w:rsidRPr="00F847C2" w:rsidRDefault="008256AD">
      <w:pPr>
        <w:rPr>
          <w:highlight w:val="yellow"/>
        </w:rPr>
      </w:pPr>
    </w:p>
    <w:p w14:paraId="469CA681" w14:textId="4EA994A7" w:rsidR="000B41D7" w:rsidRDefault="00B956B5">
      <w:r>
        <w:t>Local Members in Woking</w:t>
      </w:r>
      <w:r w:rsidR="00571DF0">
        <w:t xml:space="preserve"> </w:t>
      </w:r>
      <w:r>
        <w:t xml:space="preserve">have presented </w:t>
      </w:r>
      <w:r w:rsidR="005728FA">
        <w:t>t</w:t>
      </w:r>
      <w:r w:rsidR="00BF6911">
        <w:t>hree</w:t>
      </w:r>
      <w:r w:rsidR="005728FA">
        <w:t xml:space="preserve"> different options for </w:t>
      </w:r>
      <w:r w:rsidR="00571DF0">
        <w:t>d</w:t>
      </w:r>
      <w:r w:rsidR="005728FA">
        <w:t xml:space="preserve">ivision boundaries in the </w:t>
      </w:r>
      <w:r w:rsidR="00571DF0">
        <w:t>borough</w:t>
      </w:r>
      <w:r w:rsidR="005728FA">
        <w:t xml:space="preserve">. The </w:t>
      </w:r>
      <w:r w:rsidR="00571DF0">
        <w:t>t</w:t>
      </w:r>
      <w:r w:rsidR="005728FA">
        <w:t xml:space="preserve">ask </w:t>
      </w:r>
      <w:r w:rsidR="00571DF0">
        <w:t>g</w:t>
      </w:r>
      <w:r w:rsidR="005728FA">
        <w:t xml:space="preserve">roup </w:t>
      </w:r>
      <w:r w:rsidR="00571DF0">
        <w:t xml:space="preserve">felt that </w:t>
      </w:r>
      <w:r w:rsidR="00BF6911">
        <w:t>all three options</w:t>
      </w:r>
      <w:r w:rsidR="00571DF0">
        <w:t xml:space="preserve"> met the </w:t>
      </w:r>
      <w:r w:rsidR="00700554">
        <w:t>C</w:t>
      </w:r>
      <w:r w:rsidR="00571DF0">
        <w:t xml:space="preserve">ommission’s criteria and </w:t>
      </w:r>
      <w:r w:rsidR="005728FA">
        <w:t xml:space="preserve">therefore agreed to present </w:t>
      </w:r>
      <w:r w:rsidR="00BF6911">
        <w:t>all three</w:t>
      </w:r>
      <w:r w:rsidR="005728FA">
        <w:t xml:space="preserve"> to the </w:t>
      </w:r>
      <w:r w:rsidR="00700554">
        <w:t>C</w:t>
      </w:r>
      <w:r w:rsidR="005728FA">
        <w:t>ommission</w:t>
      </w:r>
      <w:r w:rsidR="00BF6911">
        <w:t>.</w:t>
      </w:r>
      <w:r w:rsidR="005728FA">
        <w:t xml:space="preserve"> Please note the wording used to describe the </w:t>
      </w:r>
      <w:r w:rsidR="00700554">
        <w:t>d</w:t>
      </w:r>
      <w:r w:rsidR="005728FA">
        <w:t xml:space="preserve">ivisions </w:t>
      </w:r>
      <w:r w:rsidR="00BF6911">
        <w:t xml:space="preserve">in Option B and Option C </w:t>
      </w:r>
      <w:r w:rsidR="005728FA">
        <w:t>below are that of local Members</w:t>
      </w:r>
      <w:r w:rsidR="00700554">
        <w:t xml:space="preserve"> proposing each o</w:t>
      </w:r>
      <w:r w:rsidR="00BF6911">
        <w:t>ption</w:t>
      </w:r>
      <w:r w:rsidR="00700554">
        <w:t>,</w:t>
      </w:r>
      <w:r w:rsidR="005728FA">
        <w:t xml:space="preserve"> rather than the </w:t>
      </w:r>
      <w:r w:rsidR="00700554">
        <w:t>t</w:t>
      </w:r>
      <w:r w:rsidR="005728FA">
        <w:t xml:space="preserve">ask </w:t>
      </w:r>
      <w:r w:rsidR="00700554">
        <w:t>g</w:t>
      </w:r>
      <w:r w:rsidR="005728FA">
        <w:t xml:space="preserve">roup. </w:t>
      </w:r>
    </w:p>
    <w:p w14:paraId="5AB89A04" w14:textId="76F97300" w:rsidR="00BF6911" w:rsidRDefault="00BF6911"/>
    <w:p w14:paraId="5ABDC840" w14:textId="43AD8D85" w:rsidR="00BF6911" w:rsidRDefault="00BF6911">
      <w:pPr>
        <w:rPr>
          <w:b/>
          <w:bCs/>
        </w:rPr>
      </w:pPr>
      <w:r>
        <w:rPr>
          <w:b/>
          <w:bCs/>
        </w:rPr>
        <w:t>Option A</w:t>
      </w:r>
    </w:p>
    <w:p w14:paraId="741B05B9" w14:textId="4BB78550" w:rsidR="00BF6911" w:rsidRDefault="00BF6911">
      <w:pPr>
        <w:rPr>
          <w:b/>
          <w:bCs/>
        </w:rPr>
      </w:pPr>
    </w:p>
    <w:p w14:paraId="159AF1CD" w14:textId="4D4ADCC5" w:rsidR="00C02CA3" w:rsidRPr="00C02CA3" w:rsidRDefault="00BF6911" w:rsidP="00C02CA3">
      <w:pPr>
        <w:rPr>
          <w:rFonts w:eastAsia="Calibri" w:cs="Arial"/>
          <w:szCs w:val="22"/>
        </w:rPr>
      </w:pPr>
      <w:r>
        <w:t xml:space="preserve">This would largely keep the </w:t>
      </w:r>
      <w:r w:rsidR="00F5051E">
        <w:t xml:space="preserve">county divisions as they are now, except for moving </w:t>
      </w:r>
      <w:r w:rsidR="00C02CA3">
        <w:rPr>
          <w:rFonts w:eastAsia="Calibri" w:cs="Arial"/>
          <w:szCs w:val="22"/>
        </w:rPr>
        <w:t>p</w:t>
      </w:r>
      <w:r w:rsidR="00C02CA3" w:rsidRPr="00C02CA3">
        <w:rPr>
          <w:rFonts w:eastAsia="Calibri" w:cs="Arial"/>
          <w:szCs w:val="22"/>
        </w:rPr>
        <w:t>olling district D3 from Woking South to Woking South West, improving electoral equality.</w:t>
      </w:r>
    </w:p>
    <w:p w14:paraId="5A8238AF" w14:textId="743B115F" w:rsidR="00BF6911" w:rsidRPr="00BF6911" w:rsidRDefault="00BF6911"/>
    <w:p w14:paraId="27A3A10A" w14:textId="6D55EB03" w:rsidR="0028617C" w:rsidRPr="0028617C" w:rsidRDefault="0028617C" w:rsidP="0028617C">
      <w:pPr>
        <w:overflowPunct/>
        <w:autoSpaceDE/>
        <w:autoSpaceDN/>
        <w:adjustRightInd/>
        <w:textAlignment w:val="auto"/>
        <w:rPr>
          <w:rFonts w:ascii="Times New Roman" w:hAnsi="Times New Roman"/>
          <w:sz w:val="24"/>
          <w:szCs w:val="24"/>
          <w:lang w:eastAsia="en-GB"/>
        </w:rPr>
      </w:pPr>
    </w:p>
    <w:tbl>
      <w:tblPr>
        <w:tblW w:w="148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2"/>
        <w:gridCol w:w="1418"/>
        <w:gridCol w:w="1417"/>
        <w:gridCol w:w="9015"/>
      </w:tblGrid>
      <w:tr w:rsidR="0028617C" w:rsidRPr="0028617C" w14:paraId="1BED5CA0" w14:textId="77777777" w:rsidTr="00341CF8">
        <w:trPr>
          <w:trHeight w:val="270"/>
        </w:trPr>
        <w:tc>
          <w:tcPr>
            <w:tcW w:w="1482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65D01A" w14:textId="32D5FCAC" w:rsidR="0028617C" w:rsidRPr="0028617C" w:rsidRDefault="00D12D21" w:rsidP="00D12D21">
            <w:pPr>
              <w:overflowPunct/>
              <w:autoSpaceDE/>
              <w:autoSpaceDN/>
              <w:adjustRightInd/>
              <w:jc w:val="center"/>
              <w:divId w:val="405765782"/>
              <w:rPr>
                <w:rFonts w:cs="Arial"/>
                <w:b/>
                <w:bCs/>
                <w:color w:val="FFFFFF"/>
                <w:szCs w:val="22"/>
                <w:lang w:eastAsia="en-GB"/>
              </w:rPr>
            </w:pPr>
            <w:r w:rsidRPr="003D17B0">
              <w:rPr>
                <w:rFonts w:cs="Arial"/>
                <w:b/>
                <w:bCs/>
                <w:color w:val="000000" w:themeColor="text1"/>
                <w:position w:val="1"/>
                <w:szCs w:val="22"/>
                <w:lang w:eastAsia="en-GB"/>
              </w:rPr>
              <w:t xml:space="preserve">Option </w:t>
            </w:r>
            <w:r w:rsidR="00BF6911">
              <w:rPr>
                <w:rFonts w:cs="Arial"/>
                <w:b/>
                <w:bCs/>
                <w:color w:val="000000" w:themeColor="text1"/>
                <w:position w:val="1"/>
                <w:szCs w:val="22"/>
                <w:lang w:eastAsia="en-GB"/>
              </w:rPr>
              <w:t>B</w:t>
            </w:r>
          </w:p>
        </w:tc>
      </w:tr>
      <w:tr w:rsidR="00341CF8" w:rsidRPr="0028617C" w14:paraId="3046E6D3" w14:textId="77777777" w:rsidTr="00341CF8">
        <w:trPr>
          <w:trHeight w:val="27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71E2B" w14:textId="77777777" w:rsidR="00341CF8" w:rsidRPr="0028617C" w:rsidRDefault="00341CF8" w:rsidP="00341CF8">
            <w:pPr>
              <w:overflowPunct/>
              <w:autoSpaceDE/>
              <w:autoSpaceDN/>
              <w:adjustRightInd/>
              <w:jc w:val="center"/>
              <w:rPr>
                <w:rFonts w:cs="Arial"/>
                <w:color w:val="000000"/>
                <w:szCs w:val="22"/>
                <w:lang w:eastAsia="en-GB"/>
              </w:rPr>
            </w:pPr>
            <w:r w:rsidRPr="0028617C">
              <w:rPr>
                <w:rFonts w:cs="Arial"/>
                <w:b/>
                <w:bCs/>
                <w:color w:val="000000"/>
                <w:szCs w:val="22"/>
                <w:lang w:eastAsia="en-GB"/>
              </w:rPr>
              <w:t>New division Name</w:t>
            </w:r>
            <w:r w:rsidRPr="0028617C">
              <w:rPr>
                <w:rFonts w:cs="Arial"/>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81D52BB" w14:textId="25F7BAFC" w:rsidR="00341CF8" w:rsidRPr="0028617C" w:rsidRDefault="00341CF8" w:rsidP="00341CF8">
            <w:pPr>
              <w:overflowPunct/>
              <w:autoSpaceDE/>
              <w:autoSpaceDN/>
              <w:adjustRightInd/>
              <w:jc w:val="center"/>
              <w:rPr>
                <w:rFonts w:cs="Arial"/>
                <w:color w:val="000000"/>
                <w:szCs w:val="22"/>
                <w:lang w:eastAsia="en-GB"/>
              </w:rPr>
            </w:pPr>
            <w:r w:rsidRPr="005728FA">
              <w:rPr>
                <w:b/>
              </w:rPr>
              <w:t>2029 Forecast Electorate</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7FB9431" w14:textId="76699F9F" w:rsidR="00341CF8" w:rsidRPr="0028617C" w:rsidRDefault="00341CF8" w:rsidP="00341CF8">
            <w:pPr>
              <w:overflowPunct/>
              <w:autoSpaceDE/>
              <w:autoSpaceDN/>
              <w:adjustRightInd/>
              <w:jc w:val="center"/>
              <w:rPr>
                <w:rFonts w:cs="Arial"/>
                <w:color w:val="000000"/>
                <w:szCs w:val="22"/>
                <w:lang w:eastAsia="en-GB"/>
              </w:rPr>
            </w:pPr>
            <w:r w:rsidRPr="005728FA">
              <w:rPr>
                <w:b/>
              </w:rPr>
              <w:t>2029 Forecast Electorate Variance</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107D8" w14:textId="77777777" w:rsidR="00341CF8" w:rsidRPr="0028617C" w:rsidRDefault="00341CF8" w:rsidP="00341CF8">
            <w:pPr>
              <w:overflowPunct/>
              <w:autoSpaceDE/>
              <w:autoSpaceDN/>
              <w:adjustRightInd/>
              <w:jc w:val="center"/>
              <w:rPr>
                <w:rFonts w:cs="Arial"/>
                <w:color w:val="000000"/>
                <w:szCs w:val="22"/>
                <w:lang w:eastAsia="en-GB"/>
              </w:rPr>
            </w:pPr>
            <w:r w:rsidRPr="0028617C">
              <w:rPr>
                <w:rFonts w:cs="Arial"/>
                <w:b/>
                <w:bCs/>
                <w:color w:val="000000"/>
                <w:szCs w:val="22"/>
                <w:lang w:eastAsia="en-GB"/>
              </w:rPr>
              <w:t>Supporting evidence and rationale that the proposals meet the statutory criteria</w:t>
            </w:r>
            <w:r w:rsidRPr="0028617C">
              <w:rPr>
                <w:rFonts w:cs="Arial"/>
                <w:color w:val="000000"/>
                <w:szCs w:val="22"/>
                <w:lang w:eastAsia="en-GB"/>
              </w:rPr>
              <w:t>​</w:t>
            </w:r>
          </w:p>
        </w:tc>
      </w:tr>
      <w:tr w:rsidR="003D17B0" w:rsidRPr="0028617C" w14:paraId="310CB97C" w14:textId="77777777" w:rsidTr="00341CF8">
        <w:trPr>
          <w:trHeight w:val="12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20212" w14:textId="77777777" w:rsidR="0028617C" w:rsidRPr="0028617C" w:rsidRDefault="0028617C" w:rsidP="00D12D21">
            <w:pPr>
              <w:overflowPunct/>
              <w:autoSpaceDE/>
              <w:autoSpaceDN/>
              <w:adjustRightInd/>
              <w:jc w:val="center"/>
              <w:rPr>
                <w:rFonts w:cs="Arial"/>
                <w:color w:val="000000"/>
                <w:szCs w:val="22"/>
                <w:lang w:eastAsia="en-GB"/>
              </w:rPr>
            </w:pPr>
            <w:r w:rsidRPr="007B4EA6">
              <w:rPr>
                <w:rFonts w:cs="Arial"/>
                <w:b/>
                <w:bCs/>
                <w:color w:val="000000"/>
                <w:position w:val="-1"/>
                <w:szCs w:val="22"/>
                <w:lang w:eastAsia="en-GB"/>
              </w:rPr>
              <w:t>Knaphill &amp; Hermitage</w:t>
            </w:r>
            <w:r w:rsidRPr="0028617C">
              <w:rPr>
                <w:rFonts w:cs="Arial"/>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FE7F5" w14:textId="75618FB0" w:rsidR="0028617C" w:rsidRPr="0028617C" w:rsidRDefault="0056276E" w:rsidP="00D12D21">
            <w:pPr>
              <w:overflowPunct/>
              <w:autoSpaceDE/>
              <w:autoSpaceDN/>
              <w:adjustRightInd/>
              <w:rPr>
                <w:rFonts w:cs="Arial"/>
                <w:color w:val="000000"/>
                <w:szCs w:val="22"/>
                <w:lang w:eastAsia="en-GB"/>
              </w:rPr>
            </w:pPr>
            <w:r w:rsidRPr="003D17B0">
              <w:rPr>
                <w:rFonts w:cs="Arial"/>
                <w:color w:val="000000"/>
                <w:szCs w:val="22"/>
                <w:lang w:eastAsia="en-GB"/>
              </w:rPr>
              <w:t>12,366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261D7"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4%</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DE442" w14:textId="77777777" w:rsidR="00DF2F96" w:rsidRDefault="00DF2F96" w:rsidP="00D12D21">
            <w:pPr>
              <w:overflowPunct/>
              <w:autoSpaceDE/>
              <w:autoSpaceDN/>
              <w:adjustRightInd/>
              <w:rPr>
                <w:rFonts w:cs="Arial"/>
                <w:color w:val="000000"/>
                <w:position w:val="-1"/>
                <w:szCs w:val="22"/>
                <w:lang w:eastAsia="en-GB"/>
              </w:rPr>
            </w:pPr>
          </w:p>
          <w:p w14:paraId="7BCABE84" w14:textId="37AEDCEB" w:rsidR="0028617C" w:rsidRPr="003D17B0" w:rsidRDefault="0028617C" w:rsidP="00D12D21">
            <w:pPr>
              <w:overflowPunct/>
              <w:autoSpaceDE/>
              <w:autoSpaceDN/>
              <w:adjustRightInd/>
              <w:rPr>
                <w:rFonts w:cs="Arial"/>
                <w:color w:val="000000"/>
                <w:szCs w:val="22"/>
                <w:lang w:eastAsia="en-GB"/>
              </w:rPr>
            </w:pPr>
            <w:r w:rsidRPr="0028617C">
              <w:rPr>
                <w:rFonts w:cs="Arial"/>
                <w:color w:val="000000"/>
                <w:position w:val="-1"/>
                <w:szCs w:val="22"/>
                <w:lang w:eastAsia="en-GB"/>
              </w:rPr>
              <w:t>This division is mainly made up of Knaphill ward, which is one community and village.  The proposed division includes K1 from St John’s, this area used to be a ward on its own called Hermitage and Knaphill South, which delights this area’s close link to Knaphill.  Most children from Knaphill attend school at Winston Churchill School, which is in the Hermitage area.</w:t>
            </w:r>
            <w:r w:rsidRPr="0028617C">
              <w:rPr>
                <w:rFonts w:cs="Arial"/>
                <w:color w:val="000000"/>
                <w:szCs w:val="22"/>
                <w:lang w:eastAsia="en-GB"/>
              </w:rPr>
              <w:t>​</w:t>
            </w:r>
          </w:p>
          <w:p w14:paraId="744EFB3A" w14:textId="77777777" w:rsidR="00BD0246" w:rsidRPr="003D17B0" w:rsidRDefault="00BD0246" w:rsidP="00D12D21">
            <w:pPr>
              <w:overflowPunct/>
              <w:autoSpaceDE/>
              <w:autoSpaceDN/>
              <w:adjustRightInd/>
              <w:rPr>
                <w:rFonts w:cs="Arial"/>
                <w:color w:val="000000"/>
                <w:szCs w:val="22"/>
                <w:lang w:eastAsia="en-GB"/>
              </w:rPr>
            </w:pPr>
          </w:p>
          <w:p w14:paraId="20106C05" w14:textId="7FEC9E7F" w:rsidR="00BD0246" w:rsidRPr="0028617C" w:rsidRDefault="00DF2F96" w:rsidP="00BD0246">
            <w:pPr>
              <w:overflowPunct/>
              <w:autoSpaceDE/>
              <w:autoSpaceDN/>
              <w:adjustRightInd/>
              <w:rPr>
                <w:rFonts w:cs="Arial"/>
                <w:color w:val="000000"/>
                <w:szCs w:val="22"/>
                <w:lang w:val="en-US" w:eastAsia="en-GB"/>
              </w:rPr>
            </w:pPr>
            <w:r>
              <w:rPr>
                <w:rFonts w:cs="Arial"/>
                <w:color w:val="000000"/>
                <w:szCs w:val="22"/>
                <w:lang w:eastAsia="en-GB"/>
              </w:rPr>
              <w:t xml:space="preserve">This division includes </w:t>
            </w:r>
            <w:r w:rsidR="0059715E">
              <w:rPr>
                <w:rFonts w:cs="Arial"/>
                <w:color w:val="000000"/>
                <w:szCs w:val="22"/>
                <w:lang w:eastAsia="en-GB"/>
              </w:rPr>
              <w:t>p</w:t>
            </w:r>
            <w:r>
              <w:rPr>
                <w:rFonts w:cs="Arial"/>
                <w:color w:val="000000"/>
                <w:szCs w:val="22"/>
                <w:lang w:eastAsia="en-GB"/>
              </w:rPr>
              <w:t xml:space="preserve">olling </w:t>
            </w:r>
            <w:r w:rsidR="0059715E">
              <w:rPr>
                <w:rFonts w:cs="Arial"/>
                <w:color w:val="000000"/>
                <w:szCs w:val="22"/>
                <w:lang w:eastAsia="en-GB"/>
              </w:rPr>
              <w:t>d</w:t>
            </w:r>
            <w:r>
              <w:rPr>
                <w:rFonts w:cs="Arial"/>
                <w:color w:val="000000"/>
                <w:szCs w:val="22"/>
                <w:lang w:eastAsia="en-GB"/>
              </w:rPr>
              <w:t xml:space="preserve">istricts: </w:t>
            </w:r>
            <w:r w:rsidR="00BD0246" w:rsidRPr="0028617C">
              <w:rPr>
                <w:rFonts w:cs="Arial"/>
                <w:color w:val="000000"/>
                <w:szCs w:val="22"/>
                <w:lang w:eastAsia="en-GB"/>
              </w:rPr>
              <w:t>G1</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G2</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K1</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G3</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G4​</w:t>
            </w:r>
          </w:p>
        </w:tc>
      </w:tr>
      <w:tr w:rsidR="003D17B0" w:rsidRPr="0028617C" w14:paraId="40B7573B" w14:textId="77777777" w:rsidTr="00341CF8">
        <w:trPr>
          <w:trHeight w:val="14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49054" w14:textId="77777777" w:rsidR="0028617C" w:rsidRPr="007B4EA6" w:rsidRDefault="0028617C" w:rsidP="00D12D21">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Goldsworth Park &amp; St Johns</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CFAFE" w14:textId="2B684986" w:rsidR="0028617C" w:rsidRPr="0028617C" w:rsidRDefault="001828DE" w:rsidP="00D12D21">
            <w:pPr>
              <w:overflowPunct/>
              <w:autoSpaceDE/>
              <w:autoSpaceDN/>
              <w:adjustRightInd/>
              <w:rPr>
                <w:rFonts w:cs="Arial"/>
                <w:color w:val="000000"/>
                <w:szCs w:val="22"/>
                <w:lang w:eastAsia="en-GB"/>
              </w:rPr>
            </w:pPr>
            <w:r w:rsidRPr="003D17B0">
              <w:rPr>
                <w:rFonts w:cs="Arial"/>
                <w:color w:val="000000"/>
                <w:szCs w:val="22"/>
                <w:lang w:eastAsia="en-GB"/>
              </w:rPr>
              <w:t>11,407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5AF5F"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-4%</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EEA0F" w14:textId="77777777" w:rsidR="00C81FF1" w:rsidRDefault="00C81FF1" w:rsidP="00D12D21">
            <w:pPr>
              <w:overflowPunct/>
              <w:autoSpaceDE/>
              <w:autoSpaceDN/>
              <w:adjustRightInd/>
              <w:rPr>
                <w:rFonts w:cs="Arial"/>
                <w:color w:val="000000"/>
                <w:position w:val="-1"/>
                <w:szCs w:val="22"/>
                <w:lang w:eastAsia="en-GB"/>
              </w:rPr>
            </w:pPr>
          </w:p>
          <w:p w14:paraId="7CC0657F" w14:textId="0FE34731" w:rsidR="0028617C" w:rsidRPr="003D17B0" w:rsidRDefault="0028617C" w:rsidP="00D12D21">
            <w:pPr>
              <w:overflowPunct/>
              <w:autoSpaceDE/>
              <w:autoSpaceDN/>
              <w:adjustRightInd/>
              <w:rPr>
                <w:rFonts w:cs="Arial"/>
                <w:color w:val="000000"/>
                <w:szCs w:val="22"/>
                <w:lang w:eastAsia="en-GB"/>
              </w:rPr>
            </w:pPr>
            <w:r w:rsidRPr="0028617C">
              <w:rPr>
                <w:rFonts w:cs="Arial"/>
                <w:color w:val="000000"/>
                <w:position w:val="-1"/>
                <w:szCs w:val="22"/>
                <w:lang w:eastAsia="en-GB"/>
              </w:rPr>
              <w:t>This proposed division unites Goldsworth Park, one clear community that is currently divided into two divisions.  Parts of the St John’s ward is included in this division.  Much of the St John’s area was built at the same time as Goldsworth Park and it used to be linked with Goldsworth Park in the old Goldsworth East ward.  Goldsworth County Primary School is in the St John’s ward, delighting how close these two communities are.</w:t>
            </w:r>
            <w:r w:rsidRPr="0028617C">
              <w:rPr>
                <w:rFonts w:cs="Arial"/>
                <w:color w:val="000000"/>
                <w:szCs w:val="22"/>
                <w:lang w:eastAsia="en-GB"/>
              </w:rPr>
              <w:t>​</w:t>
            </w:r>
          </w:p>
          <w:p w14:paraId="52736326" w14:textId="77777777" w:rsidR="00BC018A" w:rsidRPr="003D17B0" w:rsidRDefault="00BC018A" w:rsidP="00D12D21">
            <w:pPr>
              <w:overflowPunct/>
              <w:autoSpaceDE/>
              <w:autoSpaceDN/>
              <w:adjustRightInd/>
              <w:rPr>
                <w:rFonts w:cs="Arial"/>
                <w:color w:val="000000"/>
                <w:szCs w:val="22"/>
                <w:lang w:eastAsia="en-GB"/>
              </w:rPr>
            </w:pPr>
          </w:p>
          <w:p w14:paraId="636D08E6" w14:textId="70F41285" w:rsidR="00BD0246" w:rsidRPr="008F2F80" w:rsidRDefault="0059715E" w:rsidP="00BD0246">
            <w:pPr>
              <w:overflowPunct/>
              <w:autoSpaceDE/>
              <w:autoSpaceDN/>
              <w:adjustRightInd/>
              <w:rPr>
                <w:rFonts w:cs="Arial"/>
                <w:color w:val="000000"/>
                <w:szCs w:val="22"/>
                <w:lang w:val="en-US" w:eastAsia="en-GB"/>
              </w:rPr>
            </w:pPr>
            <w:r>
              <w:rPr>
                <w:rFonts w:cs="Arial"/>
                <w:color w:val="000000"/>
                <w:szCs w:val="22"/>
                <w:lang w:eastAsia="en-GB"/>
              </w:rPr>
              <w:t xml:space="preserve">This division includes polling districts: </w:t>
            </w:r>
            <w:r w:rsidR="00BD0246" w:rsidRPr="0028617C">
              <w:rPr>
                <w:rFonts w:cs="Arial"/>
                <w:color w:val="000000"/>
                <w:szCs w:val="22"/>
                <w:lang w:eastAsia="en-GB"/>
              </w:rPr>
              <w:t>C1</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C2</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C4</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C3</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K3</w:t>
            </w:r>
            <w:r w:rsidR="00BD0246" w:rsidRPr="0028617C">
              <w:rPr>
                <w:rFonts w:cs="Arial"/>
                <w:color w:val="000000"/>
                <w:szCs w:val="22"/>
                <w:lang w:val="en-US" w:eastAsia="en-GB"/>
              </w:rPr>
              <w:t>​</w:t>
            </w:r>
            <w:r w:rsidR="008F2F80">
              <w:rPr>
                <w:rFonts w:cs="Arial"/>
                <w:color w:val="000000"/>
                <w:szCs w:val="22"/>
                <w:lang w:val="en-US" w:eastAsia="en-GB"/>
              </w:rPr>
              <w:t xml:space="preserve"> </w:t>
            </w:r>
            <w:r w:rsidR="00BD0246" w:rsidRPr="0028617C">
              <w:rPr>
                <w:rFonts w:cs="Arial"/>
                <w:color w:val="000000"/>
                <w:szCs w:val="22"/>
                <w:lang w:eastAsia="en-GB"/>
              </w:rPr>
              <w:t>K2​</w:t>
            </w:r>
          </w:p>
          <w:p w14:paraId="0ED518A2" w14:textId="77777777" w:rsidR="00BD0246" w:rsidRPr="003D17B0" w:rsidRDefault="00BD0246" w:rsidP="00D12D21">
            <w:pPr>
              <w:overflowPunct/>
              <w:autoSpaceDE/>
              <w:autoSpaceDN/>
              <w:adjustRightInd/>
              <w:rPr>
                <w:rFonts w:cs="Arial"/>
                <w:color w:val="000000"/>
                <w:szCs w:val="22"/>
                <w:lang w:eastAsia="en-GB"/>
              </w:rPr>
            </w:pPr>
          </w:p>
          <w:p w14:paraId="7045CC31" w14:textId="7C02B48A" w:rsidR="00BD0246" w:rsidRPr="0028617C" w:rsidRDefault="00BD0246" w:rsidP="00D12D21">
            <w:pPr>
              <w:overflowPunct/>
              <w:autoSpaceDE/>
              <w:autoSpaceDN/>
              <w:adjustRightInd/>
              <w:rPr>
                <w:rFonts w:cs="Arial"/>
                <w:color w:val="000000"/>
                <w:szCs w:val="22"/>
                <w:lang w:eastAsia="en-GB"/>
              </w:rPr>
            </w:pPr>
          </w:p>
        </w:tc>
      </w:tr>
      <w:tr w:rsidR="003D17B0" w:rsidRPr="0028617C" w14:paraId="32039828" w14:textId="77777777" w:rsidTr="00341CF8">
        <w:trPr>
          <w:trHeight w:val="20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A4DC5" w14:textId="77777777" w:rsidR="0028617C" w:rsidRPr="007B4EA6" w:rsidRDefault="0028617C" w:rsidP="00D12D21">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Brookwood &amp; Woking South</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DF3BD" w14:textId="486F1A5E" w:rsidR="0028617C" w:rsidRPr="0028617C" w:rsidRDefault="001828DE" w:rsidP="00D12D21">
            <w:pPr>
              <w:overflowPunct/>
              <w:autoSpaceDE/>
              <w:autoSpaceDN/>
              <w:adjustRightInd/>
              <w:rPr>
                <w:rFonts w:cs="Arial"/>
                <w:color w:val="000000"/>
                <w:szCs w:val="22"/>
                <w:lang w:eastAsia="en-GB"/>
              </w:rPr>
            </w:pPr>
            <w:r w:rsidRPr="003D17B0">
              <w:rPr>
                <w:rFonts w:cs="Arial"/>
                <w:color w:val="000000"/>
                <w:szCs w:val="22"/>
                <w:lang w:eastAsia="en-GB"/>
              </w:rPr>
              <w:t>11,411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C3C94"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-4%</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368C1" w14:textId="77777777" w:rsidR="00C81FF1" w:rsidRDefault="00C81FF1" w:rsidP="00ED03B8">
            <w:pPr>
              <w:overflowPunct/>
              <w:autoSpaceDE/>
              <w:autoSpaceDN/>
              <w:adjustRightInd/>
              <w:rPr>
                <w:rFonts w:cs="Arial"/>
                <w:color w:val="000000"/>
                <w:position w:val="-1"/>
                <w:szCs w:val="22"/>
                <w:lang w:eastAsia="en-GB"/>
              </w:rPr>
            </w:pPr>
          </w:p>
          <w:p w14:paraId="797E2152" w14:textId="2BD61153" w:rsidR="00BC018A" w:rsidRDefault="0028617C" w:rsidP="00ED03B8">
            <w:pPr>
              <w:overflowPunct/>
              <w:autoSpaceDE/>
              <w:autoSpaceDN/>
              <w:adjustRightInd/>
              <w:rPr>
                <w:rFonts w:cs="Arial"/>
                <w:color w:val="000000"/>
                <w:position w:val="-1"/>
                <w:szCs w:val="22"/>
                <w:lang w:eastAsia="en-GB"/>
              </w:rPr>
            </w:pPr>
            <w:r w:rsidRPr="0028617C">
              <w:rPr>
                <w:rFonts w:cs="Arial"/>
                <w:color w:val="000000"/>
                <w:position w:val="-1"/>
                <w:szCs w:val="22"/>
                <w:lang w:eastAsia="en-GB"/>
              </w:rPr>
              <w:t>This division is made up of Hoe Valley ward and some of Heathlands ward.  Hoe Valley is one community made up of three interlinked villages of Kingfield, Old Woking and Westfield.  This ward is currently divided into two divisions.  Mayford and Sutton Green have very strong links with Hoe Valley, as Mayford and Sutton Green residents use shops in Hoe Valley and attend schools in that ward.  Brookwood has less connection, but is in the same Borough ward as Mayford and Sutton Green.</w:t>
            </w:r>
          </w:p>
          <w:p w14:paraId="27F87C68" w14:textId="77777777" w:rsidR="0059715E" w:rsidRDefault="0059715E" w:rsidP="00ED03B8">
            <w:pPr>
              <w:overflowPunct/>
              <w:autoSpaceDE/>
              <w:autoSpaceDN/>
              <w:adjustRightInd/>
              <w:rPr>
                <w:rFonts w:cs="Arial"/>
                <w:color w:val="000000"/>
                <w:position w:val="-1"/>
                <w:szCs w:val="22"/>
                <w:lang w:eastAsia="en-GB"/>
              </w:rPr>
            </w:pPr>
          </w:p>
          <w:p w14:paraId="61D44898" w14:textId="6C7DFE4B" w:rsidR="00ED03B8" w:rsidRDefault="0028617C" w:rsidP="00ED03B8">
            <w:pPr>
              <w:overflowPunct/>
              <w:autoSpaceDE/>
              <w:autoSpaceDN/>
              <w:adjustRightInd/>
              <w:rPr>
                <w:rFonts w:cs="Arial"/>
                <w:color w:val="000000"/>
                <w:szCs w:val="22"/>
                <w:lang w:eastAsia="en-GB"/>
              </w:rPr>
            </w:pPr>
            <w:r w:rsidRPr="0028617C">
              <w:rPr>
                <w:rFonts w:cs="Arial"/>
                <w:color w:val="000000"/>
                <w:szCs w:val="22"/>
                <w:lang w:eastAsia="en-GB"/>
              </w:rPr>
              <w:t>​</w:t>
            </w:r>
            <w:r w:rsidR="0059715E">
              <w:rPr>
                <w:rFonts w:cs="Arial"/>
                <w:color w:val="000000"/>
                <w:szCs w:val="22"/>
                <w:lang w:eastAsia="en-GB"/>
              </w:rPr>
              <w:t xml:space="preserve">This division includes polling districts: </w:t>
            </w:r>
            <w:r w:rsidR="00ED03B8" w:rsidRPr="003D17B0">
              <w:rPr>
                <w:rFonts w:cs="Arial"/>
                <w:color w:val="000000"/>
                <w:szCs w:val="22"/>
                <w:lang w:eastAsia="en-GB"/>
              </w:rPr>
              <w:t>D3</w:t>
            </w:r>
            <w:r w:rsidR="0059715E">
              <w:rPr>
                <w:rFonts w:cs="Arial"/>
                <w:color w:val="000000"/>
                <w:szCs w:val="22"/>
                <w:lang w:eastAsia="en-GB"/>
              </w:rPr>
              <w:t xml:space="preserve"> </w:t>
            </w:r>
            <w:r w:rsidR="00ED03B8" w:rsidRPr="003D17B0">
              <w:rPr>
                <w:rFonts w:cs="Arial"/>
                <w:color w:val="000000"/>
                <w:szCs w:val="22"/>
                <w:lang w:eastAsia="en-GB"/>
              </w:rPr>
              <w:t>E1</w:t>
            </w:r>
            <w:r w:rsidR="008F2F80">
              <w:rPr>
                <w:rFonts w:cs="Arial"/>
                <w:color w:val="000000"/>
                <w:szCs w:val="22"/>
                <w:lang w:eastAsia="en-GB"/>
              </w:rPr>
              <w:t xml:space="preserve"> </w:t>
            </w:r>
            <w:r w:rsidR="00ED03B8" w:rsidRPr="003D17B0">
              <w:rPr>
                <w:rFonts w:cs="Arial"/>
                <w:color w:val="000000"/>
                <w:szCs w:val="22"/>
                <w:lang w:eastAsia="en-GB"/>
              </w:rPr>
              <w:t>D6</w:t>
            </w:r>
            <w:r w:rsidR="008F2F80">
              <w:rPr>
                <w:rFonts w:cs="Arial"/>
                <w:color w:val="000000"/>
                <w:szCs w:val="22"/>
                <w:lang w:eastAsia="en-GB"/>
              </w:rPr>
              <w:t xml:space="preserve"> </w:t>
            </w:r>
            <w:r w:rsidR="00ED03B8" w:rsidRPr="003D17B0">
              <w:rPr>
                <w:rFonts w:cs="Arial"/>
                <w:color w:val="000000"/>
                <w:szCs w:val="22"/>
                <w:lang w:eastAsia="en-GB"/>
              </w:rPr>
              <w:t>E2</w:t>
            </w:r>
            <w:r w:rsidR="008F2F80">
              <w:rPr>
                <w:rFonts w:cs="Arial"/>
                <w:color w:val="000000"/>
                <w:szCs w:val="22"/>
                <w:lang w:eastAsia="en-GB"/>
              </w:rPr>
              <w:t xml:space="preserve"> </w:t>
            </w:r>
            <w:r w:rsidR="00ED03B8" w:rsidRPr="003D17B0">
              <w:rPr>
                <w:rFonts w:cs="Arial"/>
                <w:color w:val="000000"/>
                <w:szCs w:val="22"/>
                <w:lang w:eastAsia="en-GB"/>
              </w:rPr>
              <w:t>E3</w:t>
            </w:r>
            <w:r w:rsidR="008F2F80">
              <w:rPr>
                <w:rFonts w:cs="Arial"/>
                <w:color w:val="000000"/>
                <w:szCs w:val="22"/>
                <w:lang w:eastAsia="en-GB"/>
              </w:rPr>
              <w:t xml:space="preserve"> </w:t>
            </w:r>
            <w:r w:rsidR="00ED03B8" w:rsidRPr="003D17B0">
              <w:rPr>
                <w:rFonts w:cs="Arial"/>
                <w:color w:val="000000"/>
                <w:szCs w:val="22"/>
                <w:lang w:eastAsia="en-GB"/>
              </w:rPr>
              <w:t>E5</w:t>
            </w:r>
            <w:r w:rsidR="008F2F80">
              <w:rPr>
                <w:rFonts w:cs="Arial"/>
                <w:color w:val="000000"/>
                <w:szCs w:val="22"/>
                <w:lang w:eastAsia="en-GB"/>
              </w:rPr>
              <w:t xml:space="preserve"> </w:t>
            </w:r>
            <w:r w:rsidR="00ED03B8" w:rsidRPr="003D17B0">
              <w:rPr>
                <w:rFonts w:cs="Arial"/>
                <w:color w:val="000000"/>
                <w:szCs w:val="22"/>
                <w:lang w:eastAsia="en-GB"/>
              </w:rPr>
              <w:t>E4</w:t>
            </w:r>
            <w:r w:rsidR="008F2F80">
              <w:rPr>
                <w:rFonts w:cs="Arial"/>
                <w:color w:val="000000"/>
                <w:szCs w:val="22"/>
                <w:lang w:eastAsia="en-GB"/>
              </w:rPr>
              <w:t xml:space="preserve"> </w:t>
            </w:r>
            <w:r w:rsidR="00ED03B8" w:rsidRPr="003D17B0">
              <w:rPr>
                <w:rFonts w:cs="Arial"/>
                <w:color w:val="000000"/>
                <w:szCs w:val="22"/>
                <w:lang w:eastAsia="en-GB"/>
              </w:rPr>
              <w:t>D1</w:t>
            </w:r>
            <w:r w:rsidR="008F2F80">
              <w:rPr>
                <w:rFonts w:cs="Arial"/>
                <w:color w:val="000000"/>
                <w:szCs w:val="22"/>
                <w:lang w:eastAsia="en-GB"/>
              </w:rPr>
              <w:t xml:space="preserve"> </w:t>
            </w:r>
            <w:r w:rsidR="00ED03B8" w:rsidRPr="003D17B0">
              <w:rPr>
                <w:rFonts w:cs="Arial"/>
                <w:color w:val="000000"/>
                <w:szCs w:val="22"/>
                <w:lang w:eastAsia="en-GB"/>
              </w:rPr>
              <w:t>D2</w:t>
            </w:r>
          </w:p>
          <w:p w14:paraId="38916148" w14:textId="77777777" w:rsidR="00906DBB" w:rsidRPr="003D17B0" w:rsidRDefault="00906DBB" w:rsidP="00ED03B8">
            <w:pPr>
              <w:overflowPunct/>
              <w:autoSpaceDE/>
              <w:autoSpaceDN/>
              <w:adjustRightInd/>
              <w:rPr>
                <w:rFonts w:cs="Arial"/>
                <w:color w:val="000000"/>
                <w:szCs w:val="22"/>
                <w:lang w:eastAsia="en-GB"/>
              </w:rPr>
            </w:pPr>
          </w:p>
          <w:p w14:paraId="31BCC5F8" w14:textId="41BB3519" w:rsidR="00BD0246" w:rsidRPr="0028617C" w:rsidRDefault="00BD0246" w:rsidP="00D12D21">
            <w:pPr>
              <w:overflowPunct/>
              <w:autoSpaceDE/>
              <w:autoSpaceDN/>
              <w:adjustRightInd/>
              <w:rPr>
                <w:rFonts w:cs="Arial"/>
                <w:color w:val="000000"/>
                <w:szCs w:val="22"/>
                <w:lang w:eastAsia="en-GB"/>
              </w:rPr>
            </w:pPr>
          </w:p>
        </w:tc>
      </w:tr>
      <w:tr w:rsidR="003D17B0" w:rsidRPr="0028617C" w14:paraId="1B9E2027" w14:textId="77777777" w:rsidTr="00341CF8">
        <w:trPr>
          <w:trHeight w:val="14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100EF" w14:textId="77777777" w:rsidR="0028617C" w:rsidRPr="007B4EA6" w:rsidRDefault="0028617C" w:rsidP="00D12D21">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Horsell &amp; Woking Town</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33D2B" w14:textId="1A3541E6" w:rsidR="0028617C" w:rsidRPr="0028617C" w:rsidRDefault="00D1488E" w:rsidP="00D12D21">
            <w:pPr>
              <w:overflowPunct/>
              <w:autoSpaceDE/>
              <w:autoSpaceDN/>
              <w:adjustRightInd/>
              <w:rPr>
                <w:rFonts w:cs="Arial"/>
                <w:color w:val="000000"/>
                <w:szCs w:val="22"/>
                <w:lang w:eastAsia="en-GB"/>
              </w:rPr>
            </w:pPr>
            <w:r w:rsidRPr="003D17B0">
              <w:rPr>
                <w:rFonts w:cs="Arial"/>
                <w:color w:val="000000"/>
                <w:szCs w:val="22"/>
                <w:lang w:eastAsia="en-GB"/>
              </w:rPr>
              <w:t>10</w:t>
            </w:r>
            <w:r w:rsidR="001C01BD" w:rsidRPr="003D17B0">
              <w:rPr>
                <w:rFonts w:cs="Arial"/>
                <w:color w:val="000000"/>
                <w:szCs w:val="22"/>
                <w:lang w:eastAsia="en-GB"/>
              </w:rPr>
              <w:t>,256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E7C41"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-14%</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3EAE6" w14:textId="77777777" w:rsidR="00906DBB" w:rsidRDefault="00906DBB" w:rsidP="00D12D21">
            <w:pPr>
              <w:overflowPunct/>
              <w:autoSpaceDE/>
              <w:autoSpaceDN/>
              <w:adjustRightInd/>
              <w:rPr>
                <w:rFonts w:cs="Arial"/>
                <w:color w:val="000000"/>
                <w:position w:val="-1"/>
                <w:szCs w:val="22"/>
                <w:lang w:eastAsia="en-GB"/>
              </w:rPr>
            </w:pPr>
          </w:p>
          <w:p w14:paraId="4F7B7564" w14:textId="7CB448BD" w:rsidR="0028617C" w:rsidRPr="003D17B0" w:rsidRDefault="0028617C" w:rsidP="00D12D21">
            <w:pPr>
              <w:overflowPunct/>
              <w:autoSpaceDE/>
              <w:autoSpaceDN/>
              <w:adjustRightInd/>
              <w:rPr>
                <w:rFonts w:cs="Arial"/>
                <w:color w:val="000000"/>
                <w:szCs w:val="22"/>
                <w:lang w:eastAsia="en-GB"/>
              </w:rPr>
            </w:pPr>
            <w:r w:rsidRPr="0028617C">
              <w:rPr>
                <w:rFonts w:cs="Arial"/>
                <w:color w:val="000000"/>
                <w:position w:val="-1"/>
                <w:szCs w:val="22"/>
                <w:lang w:eastAsia="en-GB"/>
              </w:rPr>
              <w:t xml:space="preserve">Horsell is a very strong community with a very active Residents Association and many community activities. It is currently split between two divisions of Horsell and Goldsworth East and Woking North. Most of the children attend the local primary schools in Horsell and then go on to Woking High School which is also in the middle of Horsell. It is linked to the town centre borough of Canalside and it makes sense to continue this association. </w:t>
            </w:r>
            <w:r w:rsidR="008C03F4">
              <w:rPr>
                <w:rFonts w:cs="Arial"/>
                <w:color w:val="000000"/>
                <w:position w:val="-1"/>
                <w:szCs w:val="22"/>
                <w:lang w:eastAsia="en-GB"/>
              </w:rPr>
              <w:t xml:space="preserve"> Local Members are concerned that some new developments and predicted voters have not been included in the numbers for central Woking. </w:t>
            </w:r>
            <w:r w:rsidRPr="0028617C">
              <w:rPr>
                <w:rFonts w:cs="Arial"/>
                <w:color w:val="000000"/>
                <w:position w:val="-1"/>
                <w:szCs w:val="22"/>
                <w:lang w:eastAsia="en-GB"/>
              </w:rPr>
              <w:t>There are significant high and medium rise developments planned for the town centre so the population will increase substantially over the years to balance out the Electoral Variance.</w:t>
            </w:r>
            <w:r w:rsidRPr="0028617C">
              <w:rPr>
                <w:rFonts w:cs="Arial"/>
                <w:color w:val="000000"/>
                <w:szCs w:val="22"/>
                <w:lang w:eastAsia="en-GB"/>
              </w:rPr>
              <w:t>​</w:t>
            </w:r>
          </w:p>
          <w:p w14:paraId="52199893" w14:textId="77777777" w:rsidR="00BC018A" w:rsidRPr="003D17B0" w:rsidRDefault="00BC018A" w:rsidP="00D12D21">
            <w:pPr>
              <w:overflowPunct/>
              <w:autoSpaceDE/>
              <w:autoSpaceDN/>
              <w:adjustRightInd/>
              <w:rPr>
                <w:rFonts w:cs="Arial"/>
                <w:color w:val="000000"/>
                <w:szCs w:val="22"/>
                <w:lang w:eastAsia="en-GB"/>
              </w:rPr>
            </w:pPr>
          </w:p>
          <w:p w14:paraId="7FB09486" w14:textId="77777777" w:rsidR="00ED03B8" w:rsidRDefault="007B4EA6" w:rsidP="00ED03B8">
            <w:pPr>
              <w:overflowPunct/>
              <w:autoSpaceDE/>
              <w:autoSpaceDN/>
              <w:adjustRightInd/>
              <w:rPr>
                <w:rFonts w:cs="Arial"/>
                <w:color w:val="000000"/>
                <w:szCs w:val="22"/>
                <w:lang w:eastAsia="en-GB"/>
              </w:rPr>
            </w:pPr>
            <w:r>
              <w:rPr>
                <w:rFonts w:cs="Arial"/>
                <w:color w:val="000000"/>
                <w:szCs w:val="22"/>
                <w:lang w:eastAsia="en-GB"/>
              </w:rPr>
              <w:t xml:space="preserve">This division includes polling districts: </w:t>
            </w:r>
            <w:r w:rsidR="00ED03B8" w:rsidRPr="003D17B0">
              <w:rPr>
                <w:rFonts w:cs="Arial"/>
                <w:color w:val="000000"/>
                <w:szCs w:val="22"/>
                <w:lang w:eastAsia="en-GB"/>
              </w:rPr>
              <w:t>F1</w:t>
            </w:r>
            <w:r w:rsidR="003D17B0" w:rsidRPr="003D17B0">
              <w:rPr>
                <w:rFonts w:cs="Arial"/>
                <w:color w:val="000000"/>
                <w:szCs w:val="22"/>
                <w:lang w:eastAsia="en-GB"/>
              </w:rPr>
              <w:t xml:space="preserve"> </w:t>
            </w:r>
            <w:r w:rsidR="00ED03B8" w:rsidRPr="003D17B0">
              <w:rPr>
                <w:rFonts w:cs="Arial"/>
                <w:color w:val="000000"/>
                <w:szCs w:val="22"/>
                <w:lang w:eastAsia="en-GB"/>
              </w:rPr>
              <w:t>B6</w:t>
            </w:r>
            <w:r w:rsidR="003D17B0" w:rsidRPr="003D17B0">
              <w:rPr>
                <w:rFonts w:cs="Arial"/>
                <w:color w:val="000000"/>
                <w:szCs w:val="22"/>
                <w:lang w:eastAsia="en-GB"/>
              </w:rPr>
              <w:t xml:space="preserve"> </w:t>
            </w:r>
            <w:r w:rsidR="00ED03B8" w:rsidRPr="003D17B0">
              <w:rPr>
                <w:rFonts w:cs="Arial"/>
                <w:color w:val="000000"/>
                <w:szCs w:val="22"/>
                <w:lang w:eastAsia="en-GB"/>
              </w:rPr>
              <w:t>F2</w:t>
            </w:r>
            <w:r w:rsidR="003D17B0" w:rsidRPr="003D17B0">
              <w:rPr>
                <w:rFonts w:cs="Arial"/>
                <w:color w:val="000000"/>
                <w:szCs w:val="22"/>
                <w:lang w:eastAsia="en-GB"/>
              </w:rPr>
              <w:t xml:space="preserve"> </w:t>
            </w:r>
            <w:r w:rsidR="00ED03B8" w:rsidRPr="003D17B0">
              <w:rPr>
                <w:rFonts w:cs="Arial"/>
                <w:color w:val="000000"/>
                <w:szCs w:val="22"/>
                <w:lang w:eastAsia="en-GB"/>
              </w:rPr>
              <w:t>B1</w:t>
            </w:r>
            <w:r w:rsidR="003D17B0" w:rsidRPr="003D17B0">
              <w:rPr>
                <w:rFonts w:cs="Arial"/>
                <w:color w:val="000000"/>
                <w:szCs w:val="22"/>
                <w:lang w:eastAsia="en-GB"/>
              </w:rPr>
              <w:t xml:space="preserve"> </w:t>
            </w:r>
            <w:r w:rsidR="00ED03B8" w:rsidRPr="003D17B0">
              <w:rPr>
                <w:rFonts w:cs="Arial"/>
                <w:color w:val="000000"/>
                <w:szCs w:val="22"/>
                <w:lang w:eastAsia="en-GB"/>
              </w:rPr>
              <w:t>B2</w:t>
            </w:r>
            <w:r w:rsidR="003D17B0" w:rsidRPr="003D17B0">
              <w:rPr>
                <w:rFonts w:cs="Arial"/>
                <w:color w:val="000000"/>
                <w:szCs w:val="22"/>
                <w:lang w:eastAsia="en-GB"/>
              </w:rPr>
              <w:t xml:space="preserve"> </w:t>
            </w:r>
            <w:r w:rsidR="00ED03B8" w:rsidRPr="003D17B0">
              <w:rPr>
                <w:rFonts w:cs="Arial"/>
                <w:color w:val="000000"/>
                <w:szCs w:val="22"/>
                <w:lang w:eastAsia="en-GB"/>
              </w:rPr>
              <w:t>F3</w:t>
            </w:r>
          </w:p>
          <w:p w14:paraId="78D19716" w14:textId="69D73246" w:rsidR="00906DBB" w:rsidRPr="0028617C" w:rsidRDefault="00906DBB" w:rsidP="00ED03B8">
            <w:pPr>
              <w:overflowPunct/>
              <w:autoSpaceDE/>
              <w:autoSpaceDN/>
              <w:adjustRightInd/>
              <w:rPr>
                <w:rFonts w:cs="Arial"/>
                <w:color w:val="000000"/>
                <w:szCs w:val="22"/>
                <w:lang w:eastAsia="en-GB"/>
              </w:rPr>
            </w:pPr>
          </w:p>
        </w:tc>
      </w:tr>
      <w:tr w:rsidR="003D17B0" w:rsidRPr="0028617C" w14:paraId="65092E85" w14:textId="77777777" w:rsidTr="00341CF8">
        <w:trPr>
          <w:trHeight w:val="13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44712" w14:textId="77777777" w:rsidR="0028617C" w:rsidRPr="007B4EA6" w:rsidRDefault="0028617C" w:rsidP="00D12D21">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Hook Heath &amp; Mount Hermon</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61053" w14:textId="1B3826DE" w:rsidR="0028617C" w:rsidRPr="0028617C" w:rsidRDefault="008F0E25" w:rsidP="00D12D21">
            <w:pPr>
              <w:overflowPunct/>
              <w:autoSpaceDE/>
              <w:autoSpaceDN/>
              <w:adjustRightInd/>
              <w:rPr>
                <w:rFonts w:cs="Arial"/>
                <w:color w:val="000000"/>
                <w:szCs w:val="22"/>
                <w:lang w:eastAsia="en-GB"/>
              </w:rPr>
            </w:pPr>
            <w:r w:rsidRPr="003D17B0">
              <w:rPr>
                <w:rFonts w:cs="Arial"/>
                <w:color w:val="000000"/>
                <w:szCs w:val="22"/>
                <w:lang w:eastAsia="en-GB"/>
              </w:rPr>
              <w:t>12,235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D150C"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3%</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C4616" w14:textId="77777777" w:rsidR="00B1492A" w:rsidRDefault="00B1492A" w:rsidP="00D12D21">
            <w:pPr>
              <w:overflowPunct/>
              <w:autoSpaceDE/>
              <w:autoSpaceDN/>
              <w:adjustRightInd/>
              <w:rPr>
                <w:rFonts w:cs="Arial"/>
                <w:color w:val="000000"/>
                <w:position w:val="-1"/>
                <w:szCs w:val="22"/>
                <w:lang w:eastAsia="en-GB"/>
              </w:rPr>
            </w:pPr>
          </w:p>
          <w:p w14:paraId="4324BC1A" w14:textId="0AC15591" w:rsidR="0028617C" w:rsidRDefault="0028617C" w:rsidP="00D12D21">
            <w:pPr>
              <w:overflowPunct/>
              <w:autoSpaceDE/>
              <w:autoSpaceDN/>
              <w:adjustRightInd/>
              <w:rPr>
                <w:rFonts w:cs="Arial"/>
                <w:color w:val="000000"/>
                <w:szCs w:val="22"/>
                <w:lang w:eastAsia="en-GB"/>
              </w:rPr>
            </w:pPr>
            <w:r w:rsidRPr="0028617C">
              <w:rPr>
                <w:rFonts w:cs="Arial"/>
                <w:color w:val="000000"/>
                <w:position w:val="-1"/>
                <w:szCs w:val="22"/>
                <w:lang w:eastAsia="en-GB"/>
              </w:rPr>
              <w:t>This division is made up of Mount Hermon ward and some of Heathlands ward.  Mount Hermon is one community, settled in between the railway line and Hoe Stream.  The Barnsbury area of Heathlands has been added to this division, it also sits between the railway line and Hoe Stream.  Some of this area used to be in a the same Borough ward as Mount Hermon.</w:t>
            </w:r>
            <w:r w:rsidRPr="0028617C">
              <w:rPr>
                <w:rFonts w:cs="Arial"/>
                <w:color w:val="000000"/>
                <w:szCs w:val="22"/>
                <w:lang w:eastAsia="en-GB"/>
              </w:rPr>
              <w:t>​</w:t>
            </w:r>
          </w:p>
          <w:p w14:paraId="220224EC" w14:textId="77777777" w:rsidR="007B4EA6" w:rsidRPr="003D17B0" w:rsidRDefault="007B4EA6" w:rsidP="00D12D21">
            <w:pPr>
              <w:overflowPunct/>
              <w:autoSpaceDE/>
              <w:autoSpaceDN/>
              <w:adjustRightInd/>
              <w:rPr>
                <w:rFonts w:cs="Arial"/>
                <w:color w:val="000000"/>
                <w:szCs w:val="22"/>
                <w:lang w:eastAsia="en-GB"/>
              </w:rPr>
            </w:pPr>
          </w:p>
          <w:p w14:paraId="312F70BA" w14:textId="77777777" w:rsidR="00ED03B8" w:rsidRDefault="007B4EA6" w:rsidP="00ED03B8">
            <w:pPr>
              <w:overflowPunct/>
              <w:autoSpaceDE/>
              <w:autoSpaceDN/>
              <w:adjustRightInd/>
              <w:rPr>
                <w:rFonts w:cs="Arial"/>
                <w:color w:val="000000"/>
                <w:szCs w:val="22"/>
                <w:lang w:eastAsia="en-GB"/>
              </w:rPr>
            </w:pPr>
            <w:r>
              <w:rPr>
                <w:rFonts w:cs="Arial"/>
                <w:color w:val="000000"/>
                <w:szCs w:val="22"/>
                <w:lang w:eastAsia="en-GB"/>
              </w:rPr>
              <w:t xml:space="preserve">This division includes polling districts: </w:t>
            </w:r>
            <w:r w:rsidR="00ED03B8" w:rsidRPr="003D17B0">
              <w:rPr>
                <w:rFonts w:cs="Arial"/>
                <w:color w:val="000000"/>
                <w:szCs w:val="22"/>
                <w:lang w:eastAsia="en-GB"/>
              </w:rPr>
              <w:t>D4</w:t>
            </w:r>
            <w:r w:rsidR="003D17B0" w:rsidRPr="003D17B0">
              <w:rPr>
                <w:rFonts w:cs="Arial"/>
                <w:color w:val="000000"/>
                <w:szCs w:val="22"/>
                <w:lang w:eastAsia="en-GB"/>
              </w:rPr>
              <w:t xml:space="preserve"> </w:t>
            </w:r>
            <w:r w:rsidR="00ED03B8" w:rsidRPr="003D17B0">
              <w:rPr>
                <w:rFonts w:cs="Arial"/>
                <w:color w:val="000000"/>
                <w:szCs w:val="22"/>
                <w:lang w:eastAsia="en-GB"/>
              </w:rPr>
              <w:t>D5</w:t>
            </w:r>
            <w:r w:rsidR="003D17B0" w:rsidRPr="003D17B0">
              <w:rPr>
                <w:rFonts w:cs="Arial"/>
                <w:color w:val="000000"/>
                <w:szCs w:val="22"/>
                <w:lang w:eastAsia="en-GB"/>
              </w:rPr>
              <w:t xml:space="preserve"> </w:t>
            </w:r>
            <w:r w:rsidR="00ED03B8" w:rsidRPr="003D17B0">
              <w:rPr>
                <w:rFonts w:cs="Arial"/>
                <w:color w:val="000000"/>
                <w:szCs w:val="22"/>
                <w:lang w:eastAsia="en-GB"/>
              </w:rPr>
              <w:t>H1</w:t>
            </w:r>
            <w:r w:rsidR="003D17B0" w:rsidRPr="003D17B0">
              <w:rPr>
                <w:rFonts w:cs="Arial"/>
                <w:color w:val="000000"/>
                <w:szCs w:val="22"/>
                <w:lang w:eastAsia="en-GB"/>
              </w:rPr>
              <w:t xml:space="preserve"> </w:t>
            </w:r>
            <w:r w:rsidR="00ED03B8" w:rsidRPr="003D17B0">
              <w:rPr>
                <w:rFonts w:cs="Arial"/>
                <w:color w:val="000000"/>
                <w:szCs w:val="22"/>
                <w:lang w:eastAsia="en-GB"/>
              </w:rPr>
              <w:t>H3</w:t>
            </w:r>
            <w:r w:rsidR="003D17B0" w:rsidRPr="003D17B0">
              <w:rPr>
                <w:rFonts w:cs="Arial"/>
                <w:color w:val="000000"/>
                <w:szCs w:val="22"/>
                <w:lang w:eastAsia="en-GB"/>
              </w:rPr>
              <w:t xml:space="preserve"> </w:t>
            </w:r>
            <w:r w:rsidR="00ED03B8" w:rsidRPr="003D17B0">
              <w:rPr>
                <w:rFonts w:cs="Arial"/>
                <w:color w:val="000000"/>
                <w:szCs w:val="22"/>
                <w:lang w:eastAsia="en-GB"/>
              </w:rPr>
              <w:t>H4</w:t>
            </w:r>
            <w:r w:rsidR="003D17B0" w:rsidRPr="003D17B0">
              <w:rPr>
                <w:rFonts w:cs="Arial"/>
                <w:color w:val="000000"/>
                <w:szCs w:val="22"/>
                <w:lang w:eastAsia="en-GB"/>
              </w:rPr>
              <w:t xml:space="preserve"> </w:t>
            </w:r>
            <w:r w:rsidR="00ED03B8" w:rsidRPr="003D17B0">
              <w:rPr>
                <w:rFonts w:cs="Arial"/>
                <w:color w:val="000000"/>
                <w:szCs w:val="22"/>
                <w:lang w:eastAsia="en-GB"/>
              </w:rPr>
              <w:t>H2</w:t>
            </w:r>
          </w:p>
          <w:p w14:paraId="28CD3F7C" w14:textId="2A198C7D" w:rsidR="00B1492A" w:rsidRPr="0028617C" w:rsidRDefault="00B1492A" w:rsidP="00ED03B8">
            <w:pPr>
              <w:overflowPunct/>
              <w:autoSpaceDE/>
              <w:autoSpaceDN/>
              <w:adjustRightInd/>
              <w:rPr>
                <w:rFonts w:cs="Arial"/>
                <w:color w:val="000000"/>
                <w:szCs w:val="22"/>
                <w:lang w:eastAsia="en-GB"/>
              </w:rPr>
            </w:pPr>
          </w:p>
        </w:tc>
      </w:tr>
      <w:tr w:rsidR="003D17B0" w:rsidRPr="0028617C" w14:paraId="3C342AE7" w14:textId="77777777" w:rsidTr="00341CF8">
        <w:trPr>
          <w:trHeight w:val="14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A802E" w14:textId="77777777" w:rsidR="0028617C" w:rsidRPr="007B4EA6" w:rsidRDefault="0028617C" w:rsidP="00D12D21">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Maybury &amp; Pyrford &amp; Sheerwater</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21E52" w14:textId="5AC916DB" w:rsidR="0028617C" w:rsidRPr="0028617C" w:rsidRDefault="009866EC" w:rsidP="00D12D21">
            <w:pPr>
              <w:overflowPunct/>
              <w:autoSpaceDE/>
              <w:autoSpaceDN/>
              <w:adjustRightInd/>
              <w:rPr>
                <w:rFonts w:cs="Arial"/>
                <w:color w:val="000000"/>
                <w:szCs w:val="22"/>
                <w:lang w:eastAsia="en-GB"/>
              </w:rPr>
            </w:pPr>
            <w:r w:rsidRPr="003D17B0">
              <w:rPr>
                <w:rFonts w:cs="Arial"/>
                <w:color w:val="000000"/>
                <w:szCs w:val="22"/>
                <w:lang w:eastAsia="en-GB"/>
              </w:rPr>
              <w:t>11,885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21B9C"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0%</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3D2E4" w14:textId="77777777" w:rsidR="00B1492A" w:rsidRDefault="00B1492A" w:rsidP="00D12D21">
            <w:pPr>
              <w:overflowPunct/>
              <w:autoSpaceDE/>
              <w:autoSpaceDN/>
              <w:adjustRightInd/>
              <w:rPr>
                <w:rFonts w:cs="Arial"/>
                <w:color w:val="000000"/>
                <w:szCs w:val="22"/>
                <w:lang w:eastAsia="en-GB"/>
              </w:rPr>
            </w:pPr>
          </w:p>
          <w:p w14:paraId="690A1832" w14:textId="040456D5" w:rsidR="0028617C" w:rsidRPr="0028617C" w:rsidRDefault="0028617C" w:rsidP="00D12D21">
            <w:pPr>
              <w:overflowPunct/>
              <w:autoSpaceDE/>
              <w:autoSpaceDN/>
              <w:adjustRightInd/>
              <w:rPr>
                <w:rFonts w:cs="Arial"/>
                <w:color w:val="000000"/>
                <w:szCs w:val="22"/>
                <w:lang w:val="en-US" w:eastAsia="en-GB"/>
              </w:rPr>
            </w:pPr>
            <w:r w:rsidRPr="0028617C">
              <w:rPr>
                <w:rFonts w:cs="Arial"/>
                <w:color w:val="000000"/>
                <w:szCs w:val="22"/>
                <w:lang w:eastAsia="en-GB"/>
              </w:rPr>
              <w:t xml:space="preserve">This </w:t>
            </w:r>
            <w:r w:rsidR="007B4EA6">
              <w:rPr>
                <w:rFonts w:cs="Arial"/>
                <w:color w:val="000000"/>
                <w:szCs w:val="22"/>
                <w:lang w:eastAsia="en-GB"/>
              </w:rPr>
              <w:t>division</w:t>
            </w:r>
            <w:r w:rsidRPr="0028617C">
              <w:rPr>
                <w:rFonts w:cs="Arial"/>
                <w:color w:val="000000"/>
                <w:szCs w:val="22"/>
                <w:lang w:eastAsia="en-GB"/>
              </w:rPr>
              <w:t xml:space="preserve"> is made up of parts of Canalside and Pyrford wards.</w:t>
            </w:r>
            <w:r w:rsidRPr="0028617C">
              <w:rPr>
                <w:rFonts w:cs="Arial"/>
                <w:color w:val="000000"/>
                <w:szCs w:val="22"/>
                <w:lang w:val="en-US" w:eastAsia="en-GB"/>
              </w:rPr>
              <w:t>​</w:t>
            </w:r>
          </w:p>
          <w:p w14:paraId="434F1EEA" w14:textId="77777777" w:rsidR="0028617C" w:rsidRPr="0028617C" w:rsidRDefault="0028617C" w:rsidP="00D12D21">
            <w:pPr>
              <w:overflowPunct/>
              <w:autoSpaceDE/>
              <w:autoSpaceDN/>
              <w:adjustRightInd/>
              <w:rPr>
                <w:rFonts w:cs="Arial"/>
                <w:color w:val="000000"/>
                <w:szCs w:val="22"/>
                <w:lang w:eastAsia="en-GB"/>
              </w:rPr>
            </w:pPr>
            <w:r w:rsidRPr="0028617C">
              <w:rPr>
                <w:rFonts w:cs="Arial"/>
                <w:color w:val="000000"/>
                <w:szCs w:val="22"/>
                <w:lang w:eastAsia="en-GB"/>
              </w:rPr>
              <w:t>​</w:t>
            </w:r>
          </w:p>
          <w:p w14:paraId="4D4FA63C" w14:textId="5DB72DDD" w:rsidR="0028617C" w:rsidRPr="003D17B0" w:rsidRDefault="0028617C" w:rsidP="00D12D21">
            <w:pPr>
              <w:overflowPunct/>
              <w:autoSpaceDE/>
              <w:autoSpaceDN/>
              <w:adjustRightInd/>
              <w:rPr>
                <w:rFonts w:cs="Arial"/>
                <w:color w:val="000000"/>
                <w:szCs w:val="22"/>
                <w:lang w:eastAsia="en-GB"/>
              </w:rPr>
            </w:pPr>
            <w:r w:rsidRPr="0028617C">
              <w:rPr>
                <w:rFonts w:cs="Arial"/>
                <w:color w:val="000000"/>
                <w:position w:val="-1"/>
                <w:szCs w:val="22"/>
                <w:lang w:eastAsia="en-GB"/>
              </w:rPr>
              <w:t>Maybury is mainly up of people from an Asian heritage, although the area is divided by the railway line with the old Maybury sitting north of the railway and the Maybury council estate south of the railway line.  Maybury and Sheerwater have a strong connection, for example MASCOT supports both areas.  The Maybury estate is currently in Pyrford ward with Pyrford village, so all three areas in the east of Woking seems to fit well together.</w:t>
            </w:r>
            <w:r w:rsidRPr="0028617C">
              <w:rPr>
                <w:rFonts w:cs="Arial"/>
                <w:color w:val="000000"/>
                <w:szCs w:val="22"/>
                <w:lang w:eastAsia="en-GB"/>
              </w:rPr>
              <w:t>​</w:t>
            </w:r>
          </w:p>
          <w:p w14:paraId="57676760" w14:textId="77777777" w:rsidR="00BC018A" w:rsidRPr="003D17B0" w:rsidRDefault="00BC018A" w:rsidP="00D12D21">
            <w:pPr>
              <w:overflowPunct/>
              <w:autoSpaceDE/>
              <w:autoSpaceDN/>
              <w:adjustRightInd/>
              <w:rPr>
                <w:rFonts w:cs="Arial"/>
                <w:color w:val="000000"/>
                <w:szCs w:val="22"/>
                <w:lang w:eastAsia="en-GB"/>
              </w:rPr>
            </w:pPr>
          </w:p>
          <w:p w14:paraId="4D61CE4C" w14:textId="75CC12E6" w:rsidR="00DF18B7" w:rsidRPr="0028617C" w:rsidRDefault="007B4EA6" w:rsidP="00DF18B7">
            <w:pPr>
              <w:overflowPunct/>
              <w:autoSpaceDE/>
              <w:autoSpaceDN/>
              <w:adjustRightInd/>
              <w:rPr>
                <w:rFonts w:cs="Arial"/>
                <w:color w:val="000000"/>
                <w:szCs w:val="22"/>
                <w:lang w:eastAsia="en-GB"/>
              </w:rPr>
            </w:pPr>
            <w:r>
              <w:rPr>
                <w:rFonts w:cs="Arial"/>
                <w:color w:val="000000"/>
                <w:szCs w:val="22"/>
                <w:lang w:eastAsia="en-GB"/>
              </w:rPr>
              <w:t xml:space="preserve">This division includes polling districts: </w:t>
            </w:r>
            <w:r w:rsidR="00DF18B7" w:rsidRPr="003D17B0">
              <w:rPr>
                <w:rFonts w:cs="Arial"/>
                <w:color w:val="000000"/>
                <w:szCs w:val="22"/>
                <w:lang w:eastAsia="en-GB"/>
              </w:rPr>
              <w:t>B3</w:t>
            </w:r>
            <w:r w:rsidR="003D17B0" w:rsidRPr="003D17B0">
              <w:rPr>
                <w:rFonts w:cs="Arial"/>
                <w:color w:val="000000"/>
                <w:szCs w:val="22"/>
                <w:lang w:eastAsia="en-GB"/>
              </w:rPr>
              <w:t xml:space="preserve"> </w:t>
            </w:r>
            <w:r w:rsidR="00DF18B7" w:rsidRPr="003D17B0">
              <w:rPr>
                <w:rFonts w:cs="Arial"/>
                <w:color w:val="000000"/>
                <w:szCs w:val="22"/>
                <w:lang w:eastAsia="en-GB"/>
              </w:rPr>
              <w:t>B5</w:t>
            </w:r>
            <w:r w:rsidR="003D17B0" w:rsidRPr="003D17B0">
              <w:rPr>
                <w:rFonts w:cs="Arial"/>
                <w:color w:val="000000"/>
                <w:szCs w:val="22"/>
                <w:lang w:eastAsia="en-GB"/>
              </w:rPr>
              <w:t xml:space="preserve"> </w:t>
            </w:r>
            <w:r w:rsidR="00DF18B7" w:rsidRPr="003D17B0">
              <w:rPr>
                <w:rFonts w:cs="Arial"/>
                <w:color w:val="000000"/>
                <w:szCs w:val="22"/>
                <w:lang w:eastAsia="en-GB"/>
              </w:rPr>
              <w:t>J1</w:t>
            </w:r>
            <w:r w:rsidR="003D17B0" w:rsidRPr="003D17B0">
              <w:rPr>
                <w:rFonts w:cs="Arial"/>
                <w:color w:val="000000"/>
                <w:szCs w:val="22"/>
                <w:lang w:eastAsia="en-GB"/>
              </w:rPr>
              <w:t xml:space="preserve"> </w:t>
            </w:r>
            <w:r w:rsidR="00DF18B7" w:rsidRPr="003D17B0">
              <w:rPr>
                <w:rFonts w:cs="Arial"/>
                <w:color w:val="000000"/>
                <w:szCs w:val="22"/>
                <w:lang w:eastAsia="en-GB"/>
              </w:rPr>
              <w:t>J2</w:t>
            </w:r>
            <w:r w:rsidR="003D17B0" w:rsidRPr="003D17B0">
              <w:rPr>
                <w:rFonts w:cs="Arial"/>
                <w:color w:val="000000"/>
                <w:szCs w:val="22"/>
                <w:lang w:eastAsia="en-GB"/>
              </w:rPr>
              <w:t xml:space="preserve"> </w:t>
            </w:r>
            <w:r w:rsidR="00DF18B7" w:rsidRPr="003D17B0">
              <w:rPr>
                <w:rFonts w:cs="Arial"/>
                <w:color w:val="000000"/>
                <w:szCs w:val="22"/>
                <w:lang w:eastAsia="en-GB"/>
              </w:rPr>
              <w:t>B4</w:t>
            </w:r>
            <w:r w:rsidR="003D17B0" w:rsidRPr="003D17B0">
              <w:rPr>
                <w:rFonts w:cs="Arial"/>
                <w:color w:val="000000"/>
                <w:szCs w:val="22"/>
                <w:lang w:eastAsia="en-GB"/>
              </w:rPr>
              <w:t xml:space="preserve"> </w:t>
            </w:r>
            <w:r w:rsidR="00DF18B7" w:rsidRPr="003D17B0">
              <w:rPr>
                <w:rFonts w:cs="Arial"/>
                <w:color w:val="000000"/>
                <w:szCs w:val="22"/>
                <w:lang w:eastAsia="en-GB"/>
              </w:rPr>
              <w:t>J3</w:t>
            </w:r>
          </w:p>
        </w:tc>
      </w:tr>
      <w:tr w:rsidR="003D17B0" w:rsidRPr="0028617C" w14:paraId="46E0AFC5" w14:textId="77777777" w:rsidTr="00341CF8">
        <w:trPr>
          <w:trHeight w:val="73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EABF9" w14:textId="77777777" w:rsidR="0028617C" w:rsidRPr="007B4EA6" w:rsidRDefault="0028617C" w:rsidP="00D12D21">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The Byfleets (NO CHANGE)</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2C715" w14:textId="7C2E4D6A" w:rsidR="0028617C" w:rsidRPr="0028617C" w:rsidRDefault="003D17B0" w:rsidP="00D12D21">
            <w:pPr>
              <w:overflowPunct/>
              <w:autoSpaceDE/>
              <w:autoSpaceDN/>
              <w:adjustRightInd/>
              <w:rPr>
                <w:rFonts w:cs="Arial"/>
                <w:color w:val="000000"/>
                <w:szCs w:val="22"/>
                <w:lang w:eastAsia="en-GB"/>
              </w:rPr>
            </w:pPr>
            <w:r w:rsidRPr="003D17B0">
              <w:rPr>
                <w:rFonts w:cs="Arial"/>
                <w:color w:val="000000"/>
                <w:szCs w:val="22"/>
                <w:lang w:eastAsia="en-GB"/>
              </w:rPr>
              <w:t>11,131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C382F" w14:textId="77777777" w:rsidR="0028617C" w:rsidRPr="0028617C" w:rsidRDefault="0028617C" w:rsidP="00D12D21">
            <w:pPr>
              <w:overflowPunct/>
              <w:autoSpaceDE/>
              <w:autoSpaceDN/>
              <w:adjustRightInd/>
              <w:jc w:val="center"/>
              <w:rPr>
                <w:rFonts w:cs="Arial"/>
                <w:color w:val="000000"/>
                <w:szCs w:val="22"/>
                <w:lang w:eastAsia="en-GB"/>
              </w:rPr>
            </w:pPr>
            <w:r w:rsidRPr="0028617C">
              <w:rPr>
                <w:rFonts w:cs="Arial"/>
                <w:color w:val="000000"/>
                <w:position w:val="-1"/>
                <w:szCs w:val="22"/>
                <w:lang w:eastAsia="en-GB"/>
              </w:rPr>
              <w:t>-7%</w:t>
            </w:r>
            <w:r w:rsidRPr="0028617C">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44ED3" w14:textId="6597F736" w:rsidR="0028617C" w:rsidRPr="0028617C" w:rsidRDefault="0028617C" w:rsidP="00DF18B7">
            <w:pPr>
              <w:overflowPunct/>
              <w:autoSpaceDE/>
              <w:autoSpaceDN/>
              <w:adjustRightInd/>
              <w:rPr>
                <w:rFonts w:cs="Arial"/>
                <w:color w:val="000000"/>
                <w:szCs w:val="22"/>
                <w:lang w:eastAsia="en-GB"/>
              </w:rPr>
            </w:pPr>
            <w:r w:rsidRPr="0028617C">
              <w:rPr>
                <w:rFonts w:cs="Arial"/>
                <w:color w:val="000000"/>
                <w:szCs w:val="22"/>
                <w:lang w:eastAsia="en-GB"/>
              </w:rPr>
              <w:t>​</w:t>
            </w:r>
            <w:r w:rsidR="00DF18B7" w:rsidRPr="003D17B0">
              <w:rPr>
                <w:rFonts w:cs="Arial"/>
                <w:szCs w:val="22"/>
              </w:rPr>
              <w:t xml:space="preserve"> </w:t>
            </w:r>
            <w:r w:rsidR="007B4EA6">
              <w:rPr>
                <w:rFonts w:cs="Arial"/>
                <w:szCs w:val="22"/>
              </w:rPr>
              <w:t xml:space="preserve">This division includes polling districts: </w:t>
            </w:r>
            <w:r w:rsidR="00DF18B7" w:rsidRPr="003D17B0">
              <w:rPr>
                <w:rFonts w:cs="Arial"/>
                <w:color w:val="000000"/>
                <w:szCs w:val="22"/>
                <w:lang w:eastAsia="en-GB"/>
              </w:rPr>
              <w:t>J4</w:t>
            </w:r>
            <w:r w:rsidR="003D17B0" w:rsidRPr="003D17B0">
              <w:rPr>
                <w:rFonts w:cs="Arial"/>
                <w:color w:val="000000"/>
                <w:szCs w:val="22"/>
                <w:lang w:eastAsia="en-GB"/>
              </w:rPr>
              <w:t xml:space="preserve">, </w:t>
            </w:r>
            <w:r w:rsidR="00DF18B7" w:rsidRPr="003D17B0">
              <w:rPr>
                <w:rFonts w:cs="Arial"/>
                <w:color w:val="000000"/>
                <w:szCs w:val="22"/>
                <w:lang w:eastAsia="en-GB"/>
              </w:rPr>
              <w:t>A1</w:t>
            </w:r>
            <w:r w:rsidR="003D17B0" w:rsidRPr="003D17B0">
              <w:rPr>
                <w:rFonts w:cs="Arial"/>
                <w:color w:val="000000"/>
                <w:szCs w:val="22"/>
                <w:lang w:eastAsia="en-GB"/>
              </w:rPr>
              <w:t xml:space="preserve">, </w:t>
            </w:r>
            <w:r w:rsidR="00DF18B7" w:rsidRPr="003D17B0">
              <w:rPr>
                <w:rFonts w:cs="Arial"/>
                <w:color w:val="000000"/>
                <w:szCs w:val="22"/>
                <w:lang w:eastAsia="en-GB"/>
              </w:rPr>
              <w:t>A2</w:t>
            </w:r>
          </w:p>
        </w:tc>
      </w:tr>
    </w:tbl>
    <w:p w14:paraId="7C32F925" w14:textId="77777777" w:rsidR="008256AD" w:rsidRDefault="008256AD">
      <w:pPr>
        <w:rPr>
          <w:b/>
          <w:bCs/>
          <w:color w:val="FF0000"/>
        </w:rPr>
      </w:pPr>
    </w:p>
    <w:tbl>
      <w:tblPr>
        <w:tblW w:w="148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2"/>
        <w:gridCol w:w="1418"/>
        <w:gridCol w:w="1417"/>
        <w:gridCol w:w="9015"/>
      </w:tblGrid>
      <w:tr w:rsidR="00294127" w:rsidRPr="0028617C" w14:paraId="703EE944" w14:textId="77777777" w:rsidTr="00683A60">
        <w:trPr>
          <w:trHeight w:val="270"/>
        </w:trPr>
        <w:tc>
          <w:tcPr>
            <w:tcW w:w="1482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57254D" w14:textId="0E5FE77E" w:rsidR="00294127" w:rsidRPr="0028617C" w:rsidRDefault="00294127" w:rsidP="00683A60">
            <w:pPr>
              <w:overflowPunct/>
              <w:autoSpaceDE/>
              <w:autoSpaceDN/>
              <w:adjustRightInd/>
              <w:jc w:val="center"/>
              <w:rPr>
                <w:rFonts w:cs="Arial"/>
                <w:b/>
                <w:bCs/>
                <w:color w:val="FFFFFF"/>
                <w:szCs w:val="22"/>
                <w:lang w:eastAsia="en-GB"/>
              </w:rPr>
            </w:pPr>
            <w:r w:rsidRPr="003D17B0">
              <w:rPr>
                <w:rFonts w:cs="Arial"/>
                <w:b/>
                <w:bCs/>
                <w:color w:val="000000" w:themeColor="text1"/>
                <w:position w:val="1"/>
                <w:szCs w:val="22"/>
                <w:lang w:eastAsia="en-GB"/>
              </w:rPr>
              <w:t xml:space="preserve">Option </w:t>
            </w:r>
            <w:r w:rsidR="00BF6911">
              <w:rPr>
                <w:rFonts w:cs="Arial"/>
                <w:b/>
                <w:bCs/>
                <w:color w:val="000000" w:themeColor="text1"/>
                <w:position w:val="1"/>
                <w:szCs w:val="22"/>
                <w:lang w:eastAsia="en-GB"/>
              </w:rPr>
              <w:t>C</w:t>
            </w:r>
          </w:p>
        </w:tc>
      </w:tr>
      <w:tr w:rsidR="00294127" w:rsidRPr="0028617C" w14:paraId="1989633B" w14:textId="77777777" w:rsidTr="00683A60">
        <w:trPr>
          <w:trHeight w:val="27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7BDEE" w14:textId="77777777" w:rsidR="00294127" w:rsidRPr="0028617C" w:rsidRDefault="00294127" w:rsidP="00683A60">
            <w:pPr>
              <w:overflowPunct/>
              <w:autoSpaceDE/>
              <w:autoSpaceDN/>
              <w:adjustRightInd/>
              <w:jc w:val="center"/>
              <w:rPr>
                <w:rFonts w:cs="Arial"/>
                <w:color w:val="000000"/>
                <w:szCs w:val="22"/>
                <w:lang w:eastAsia="en-GB"/>
              </w:rPr>
            </w:pPr>
            <w:r w:rsidRPr="0028617C">
              <w:rPr>
                <w:rFonts w:cs="Arial"/>
                <w:b/>
                <w:bCs/>
                <w:color w:val="000000"/>
                <w:szCs w:val="22"/>
                <w:lang w:eastAsia="en-GB"/>
              </w:rPr>
              <w:t>New division Name</w:t>
            </w:r>
            <w:r w:rsidRPr="0028617C">
              <w:rPr>
                <w:rFonts w:cs="Arial"/>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A8E2069" w14:textId="77777777" w:rsidR="00294127" w:rsidRPr="0028617C" w:rsidRDefault="00294127" w:rsidP="00683A60">
            <w:pPr>
              <w:overflowPunct/>
              <w:autoSpaceDE/>
              <w:autoSpaceDN/>
              <w:adjustRightInd/>
              <w:jc w:val="center"/>
              <w:rPr>
                <w:rFonts w:cs="Arial"/>
                <w:color w:val="000000"/>
                <w:szCs w:val="22"/>
                <w:lang w:eastAsia="en-GB"/>
              </w:rPr>
            </w:pPr>
            <w:r w:rsidRPr="005728FA">
              <w:rPr>
                <w:b/>
              </w:rPr>
              <w:t>2029 Forecast Electorate</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97E4AE3" w14:textId="77777777" w:rsidR="00294127" w:rsidRPr="0028617C" w:rsidRDefault="00294127" w:rsidP="00683A60">
            <w:pPr>
              <w:overflowPunct/>
              <w:autoSpaceDE/>
              <w:autoSpaceDN/>
              <w:adjustRightInd/>
              <w:jc w:val="center"/>
              <w:rPr>
                <w:rFonts w:cs="Arial"/>
                <w:color w:val="000000"/>
                <w:szCs w:val="22"/>
                <w:lang w:eastAsia="en-GB"/>
              </w:rPr>
            </w:pPr>
            <w:r w:rsidRPr="005728FA">
              <w:rPr>
                <w:b/>
              </w:rPr>
              <w:t>2029 Forecast Electorate Variance</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BD224" w14:textId="77777777" w:rsidR="00294127" w:rsidRPr="0028617C" w:rsidRDefault="00294127" w:rsidP="00683A60">
            <w:pPr>
              <w:overflowPunct/>
              <w:autoSpaceDE/>
              <w:autoSpaceDN/>
              <w:adjustRightInd/>
              <w:jc w:val="center"/>
              <w:rPr>
                <w:rFonts w:cs="Arial"/>
                <w:color w:val="000000"/>
                <w:szCs w:val="22"/>
                <w:lang w:eastAsia="en-GB"/>
              </w:rPr>
            </w:pPr>
            <w:r w:rsidRPr="0028617C">
              <w:rPr>
                <w:rFonts w:cs="Arial"/>
                <w:b/>
                <w:bCs/>
                <w:color w:val="000000"/>
                <w:szCs w:val="22"/>
                <w:lang w:eastAsia="en-GB"/>
              </w:rPr>
              <w:t>Supporting evidence and rationale that the proposals meet the statutory criteria</w:t>
            </w:r>
            <w:r w:rsidRPr="0028617C">
              <w:rPr>
                <w:rFonts w:cs="Arial"/>
                <w:color w:val="000000"/>
                <w:szCs w:val="22"/>
                <w:lang w:eastAsia="en-GB"/>
              </w:rPr>
              <w:t>​</w:t>
            </w:r>
          </w:p>
        </w:tc>
      </w:tr>
      <w:tr w:rsidR="00294127" w:rsidRPr="0028617C" w14:paraId="037879A5" w14:textId="77777777" w:rsidTr="00683A60">
        <w:trPr>
          <w:trHeight w:val="12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8A09F" w14:textId="77777777" w:rsidR="00294127" w:rsidRPr="007B4EA6" w:rsidRDefault="00294127"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Knaphill &amp; Hermitage</w:t>
            </w:r>
            <w:r w:rsidRPr="007B4EA6">
              <w:rPr>
                <w:rFonts w:cs="Arial"/>
                <w:b/>
                <w:bCs/>
                <w:color w:val="000000"/>
                <w:szCs w:val="22"/>
                <w:lang w:eastAsia="en-GB"/>
              </w:rPr>
              <w:t>​</w:t>
            </w:r>
          </w:p>
          <w:p w14:paraId="46B09218" w14:textId="05ACD370" w:rsidR="00F75B3F" w:rsidRPr="007B4EA6" w:rsidRDefault="00F75B3F" w:rsidP="00683A60">
            <w:pPr>
              <w:overflowPunct/>
              <w:autoSpaceDE/>
              <w:autoSpaceDN/>
              <w:adjustRightInd/>
              <w:jc w:val="center"/>
              <w:rPr>
                <w:rFonts w:cs="Arial"/>
                <w:b/>
                <w:bCs/>
                <w:color w:val="000000"/>
                <w:szCs w:val="22"/>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17D61" w14:textId="39A70864" w:rsidR="00294127" w:rsidRPr="00683A60" w:rsidRDefault="00400F78" w:rsidP="00683A60">
            <w:pPr>
              <w:overflowPunct/>
              <w:autoSpaceDE/>
              <w:autoSpaceDN/>
              <w:adjustRightInd/>
              <w:rPr>
                <w:rFonts w:cs="Arial"/>
                <w:color w:val="000000"/>
                <w:szCs w:val="22"/>
                <w:lang w:eastAsia="en-GB"/>
              </w:rPr>
            </w:pPr>
            <w:r w:rsidRPr="00683A60">
              <w:rPr>
                <w:rFonts w:cs="Arial"/>
                <w:color w:val="000000"/>
                <w:szCs w:val="22"/>
                <w:lang w:eastAsia="en-GB"/>
              </w:rPr>
              <w:t>11,957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3EA33" w14:textId="57F987D7" w:rsidR="00294127" w:rsidRPr="00683A60" w:rsidRDefault="00400F78"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0%</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D88D3" w14:textId="77777777" w:rsidR="00704C35" w:rsidRDefault="00704C35" w:rsidP="00FC7080">
            <w:pPr>
              <w:pStyle w:val="NoSpacing"/>
              <w:rPr>
                <w:rFonts w:ascii="Arial" w:hAnsi="Arial" w:cs="Arial"/>
              </w:rPr>
            </w:pPr>
          </w:p>
          <w:p w14:paraId="5B1B63AD" w14:textId="0892A62C" w:rsidR="00FC7080" w:rsidRPr="00704C35" w:rsidRDefault="00FC7080" w:rsidP="00FC7080">
            <w:pPr>
              <w:pStyle w:val="NoSpacing"/>
              <w:rPr>
                <w:rFonts w:ascii="Arial" w:hAnsi="Arial" w:cs="Arial"/>
              </w:rPr>
            </w:pPr>
            <w:r w:rsidRPr="00704C35">
              <w:rPr>
                <w:rFonts w:ascii="Arial" w:hAnsi="Arial" w:cs="Arial"/>
              </w:rPr>
              <w:t xml:space="preserve">In order to mitigate the deficit in Woking South West, it is proposed to swap Goldsworth West (C1 &amp; C4) out of the existing division and instead replace it with The Hermitage (K1). There would be no change to any other part of the current Knaphill division and Percheron Drive (G2) would remain in Woking South West as at the moment. </w:t>
            </w:r>
          </w:p>
          <w:p w14:paraId="44CBD66A" w14:textId="77777777" w:rsidR="00FC7080" w:rsidRPr="00704C35" w:rsidRDefault="00FC7080" w:rsidP="00FC7080">
            <w:pPr>
              <w:pStyle w:val="NoSpacing"/>
              <w:rPr>
                <w:rFonts w:ascii="Arial" w:hAnsi="Arial" w:cs="Arial"/>
              </w:rPr>
            </w:pPr>
          </w:p>
          <w:p w14:paraId="5AED6FEE" w14:textId="77777777" w:rsidR="00FC7080" w:rsidRPr="00704C35" w:rsidRDefault="00FC7080" w:rsidP="00FC7080">
            <w:pPr>
              <w:pStyle w:val="NoSpacing"/>
              <w:rPr>
                <w:rFonts w:ascii="Arial" w:hAnsi="Arial" w:cs="Arial"/>
              </w:rPr>
            </w:pPr>
            <w:r w:rsidRPr="00704C35">
              <w:rPr>
                <w:rFonts w:ascii="Arial" w:hAnsi="Arial" w:cs="Arial"/>
              </w:rPr>
              <w:t xml:space="preserve">There is significant coherence between these two areas and Knaphill South and Hermitage was a borough ward from 2000-2016 that linked the current K1 polling district proposed to be moved. While it is true that Hermitage also associates itself with St Johns, either area has been found acceptable in the past when determining boundaries. </w:t>
            </w:r>
          </w:p>
          <w:p w14:paraId="61EBEBFA" w14:textId="77777777" w:rsidR="00FC7080" w:rsidRPr="00704C35" w:rsidRDefault="00FC7080" w:rsidP="00FC7080">
            <w:pPr>
              <w:pStyle w:val="NoSpacing"/>
              <w:rPr>
                <w:rFonts w:ascii="Arial" w:hAnsi="Arial" w:cs="Arial"/>
              </w:rPr>
            </w:pPr>
          </w:p>
          <w:p w14:paraId="32C8D2F4" w14:textId="77777777" w:rsidR="00FC7080" w:rsidRPr="00704C35" w:rsidRDefault="00FC7080" w:rsidP="00FC7080">
            <w:pPr>
              <w:pStyle w:val="NoSpacing"/>
              <w:rPr>
                <w:rFonts w:ascii="Arial" w:hAnsi="Arial" w:cs="Arial"/>
              </w:rPr>
            </w:pPr>
            <w:r w:rsidRPr="00704C35">
              <w:rPr>
                <w:rFonts w:ascii="Arial" w:hAnsi="Arial" w:cs="Arial"/>
              </w:rPr>
              <w:t>The change also places the new division within 400 voters of complete equity and allows some surrounding areas to be made more coterminous as a result.</w:t>
            </w:r>
          </w:p>
          <w:p w14:paraId="5D19E531" w14:textId="77777777" w:rsidR="009E19D5" w:rsidRPr="00704C35" w:rsidRDefault="009E19D5" w:rsidP="00FC7080">
            <w:pPr>
              <w:pStyle w:val="NoSpacing"/>
              <w:rPr>
                <w:rFonts w:ascii="Arial" w:hAnsi="Arial" w:cs="Arial"/>
              </w:rPr>
            </w:pPr>
          </w:p>
          <w:p w14:paraId="07EF8829" w14:textId="2576F240" w:rsidR="009E19D5" w:rsidRDefault="00B1492A" w:rsidP="00FC7080">
            <w:pPr>
              <w:pStyle w:val="NoSpacing"/>
              <w:rPr>
                <w:rFonts w:ascii="Arial" w:hAnsi="Arial" w:cs="Arial"/>
              </w:rPr>
            </w:pPr>
            <w:r w:rsidRPr="00704C35">
              <w:rPr>
                <w:rFonts w:ascii="Arial" w:hAnsi="Arial" w:cs="Arial"/>
              </w:rPr>
              <w:t>This division includes polling districts</w:t>
            </w:r>
            <w:r w:rsidR="00704C35" w:rsidRPr="00704C35">
              <w:rPr>
                <w:rFonts w:ascii="Arial" w:hAnsi="Arial" w:cs="Arial"/>
              </w:rPr>
              <w:t xml:space="preserve">: </w:t>
            </w:r>
            <w:r w:rsidR="009E19D5" w:rsidRPr="00704C35">
              <w:rPr>
                <w:rFonts w:ascii="Arial" w:hAnsi="Arial" w:cs="Arial"/>
              </w:rPr>
              <w:t>G1, G3, G4, K1</w:t>
            </w:r>
          </w:p>
          <w:p w14:paraId="5F3854CB" w14:textId="77777777" w:rsidR="00704C35" w:rsidRPr="00704C35" w:rsidRDefault="00704C35" w:rsidP="00FC7080">
            <w:pPr>
              <w:pStyle w:val="NoSpacing"/>
              <w:rPr>
                <w:rFonts w:ascii="Arial" w:hAnsi="Arial" w:cs="Arial"/>
              </w:rPr>
            </w:pPr>
          </w:p>
          <w:p w14:paraId="68183364" w14:textId="2EE9D19E" w:rsidR="00294127" w:rsidRPr="00704C35" w:rsidRDefault="00294127" w:rsidP="00683A60">
            <w:pPr>
              <w:overflowPunct/>
              <w:autoSpaceDE/>
              <w:autoSpaceDN/>
              <w:adjustRightInd/>
              <w:rPr>
                <w:rFonts w:cs="Arial"/>
                <w:color w:val="000000"/>
                <w:szCs w:val="22"/>
                <w:lang w:val="en-US" w:eastAsia="en-GB"/>
              </w:rPr>
            </w:pPr>
          </w:p>
        </w:tc>
      </w:tr>
      <w:tr w:rsidR="00294127" w:rsidRPr="0028617C" w14:paraId="4ABE936C" w14:textId="77777777" w:rsidTr="00683A60">
        <w:trPr>
          <w:trHeight w:val="14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F5B26" w14:textId="38CC5753" w:rsidR="00294127" w:rsidRPr="007B4EA6" w:rsidRDefault="0017147F"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Goldsworth Park and Horsell Village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8A116" w14:textId="3FE6FE27" w:rsidR="00294127" w:rsidRPr="00683A60" w:rsidRDefault="00821DE5" w:rsidP="00683A60">
            <w:pPr>
              <w:overflowPunct/>
              <w:autoSpaceDE/>
              <w:autoSpaceDN/>
              <w:adjustRightInd/>
              <w:rPr>
                <w:rFonts w:cs="Arial"/>
                <w:color w:val="000000"/>
                <w:szCs w:val="22"/>
                <w:lang w:eastAsia="en-GB"/>
              </w:rPr>
            </w:pPr>
            <w:r w:rsidRPr="00683A60">
              <w:rPr>
                <w:rFonts w:cs="Arial"/>
                <w:color w:val="000000"/>
                <w:szCs w:val="22"/>
                <w:lang w:eastAsia="en-GB"/>
              </w:rPr>
              <w:t>11,638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8B27E" w14:textId="576533D7" w:rsidR="00294127" w:rsidRPr="00683A60" w:rsidRDefault="00821DE5"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-2%</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CC17F" w14:textId="77777777" w:rsidR="00704C35" w:rsidRDefault="00704C35" w:rsidP="0075614A">
            <w:pPr>
              <w:pStyle w:val="NoSpacing"/>
              <w:rPr>
                <w:rFonts w:ascii="Arial" w:hAnsi="Arial" w:cs="Arial"/>
              </w:rPr>
            </w:pPr>
          </w:p>
          <w:p w14:paraId="7DCA9658" w14:textId="067A90AC" w:rsidR="0075614A" w:rsidRPr="00683A60" w:rsidRDefault="0075614A" w:rsidP="0075614A">
            <w:pPr>
              <w:pStyle w:val="NoSpacing"/>
              <w:rPr>
                <w:rFonts w:ascii="Arial" w:hAnsi="Arial" w:cs="Arial"/>
              </w:rPr>
            </w:pPr>
            <w:r w:rsidRPr="00683A60">
              <w:rPr>
                <w:rFonts w:ascii="Arial" w:hAnsi="Arial" w:cs="Arial"/>
              </w:rPr>
              <w:t>On the last occasion, Horsell was split into two divisions and the decision was made on that occasion that its identity as a village was not sufficiently important to overcome the problem of it remaining significantly undersized as a county division. Those problems still remain and would require significant changes - a combination with the town centre wards would be needed in order to overcome these issues.</w:t>
            </w:r>
          </w:p>
          <w:p w14:paraId="5FF6B37D" w14:textId="77777777" w:rsidR="0075614A" w:rsidRPr="00683A60" w:rsidRDefault="0075614A" w:rsidP="0075614A">
            <w:pPr>
              <w:pStyle w:val="NoSpacing"/>
              <w:rPr>
                <w:rFonts w:ascii="Arial" w:hAnsi="Arial" w:cs="Arial"/>
              </w:rPr>
            </w:pPr>
          </w:p>
          <w:p w14:paraId="1650B6A0" w14:textId="77777777" w:rsidR="0075614A" w:rsidRPr="00683A60" w:rsidRDefault="0075614A" w:rsidP="0075614A">
            <w:pPr>
              <w:pStyle w:val="NoSpacing"/>
              <w:rPr>
                <w:rFonts w:ascii="Arial" w:hAnsi="Arial" w:cs="Arial"/>
              </w:rPr>
            </w:pPr>
            <w:r w:rsidRPr="00683A60">
              <w:rPr>
                <w:rFonts w:ascii="Arial" w:hAnsi="Arial" w:cs="Arial"/>
              </w:rPr>
              <w:t>There is, however, an opportunity to create a coterminous and equitable Goldsworth Park division that maintains Goldsworth Park’s identity and is an evolution of the current division. The entire borough ward of Goldsworth Park combined with the village of Horsell is within 100 electors of complete equity and retains the connection between Goldsworth Park and Horsell that respects the historic links between the two.</w:t>
            </w:r>
          </w:p>
          <w:p w14:paraId="2C6B4C4A" w14:textId="77777777" w:rsidR="00294127" w:rsidRPr="00683A60" w:rsidRDefault="00294127" w:rsidP="00683A60">
            <w:pPr>
              <w:overflowPunct/>
              <w:autoSpaceDE/>
              <w:autoSpaceDN/>
              <w:adjustRightInd/>
              <w:rPr>
                <w:rFonts w:cs="Arial"/>
                <w:color w:val="000000"/>
                <w:szCs w:val="22"/>
                <w:lang w:eastAsia="en-GB"/>
              </w:rPr>
            </w:pPr>
          </w:p>
          <w:p w14:paraId="0F101CF0" w14:textId="1B0D3368" w:rsidR="007E15C5" w:rsidRDefault="00704C35" w:rsidP="00683A60">
            <w:pPr>
              <w:overflowPunct/>
              <w:autoSpaceDE/>
              <w:autoSpaceDN/>
              <w:adjustRightInd/>
              <w:rPr>
                <w:rFonts w:cs="Arial"/>
                <w:szCs w:val="22"/>
              </w:rPr>
            </w:pPr>
            <w:r>
              <w:rPr>
                <w:rFonts w:cs="Arial"/>
                <w:szCs w:val="22"/>
              </w:rPr>
              <w:t xml:space="preserve">This division includes polling districts: </w:t>
            </w:r>
            <w:r w:rsidR="007E15C5" w:rsidRPr="00683A60">
              <w:rPr>
                <w:rFonts w:cs="Arial"/>
                <w:szCs w:val="22"/>
              </w:rPr>
              <w:t>C1, C2, C3, C4, F1</w:t>
            </w:r>
          </w:p>
          <w:p w14:paraId="6479E276" w14:textId="77777777" w:rsidR="00704C35" w:rsidRPr="00683A60" w:rsidRDefault="00704C35" w:rsidP="00683A60">
            <w:pPr>
              <w:overflowPunct/>
              <w:autoSpaceDE/>
              <w:autoSpaceDN/>
              <w:adjustRightInd/>
              <w:rPr>
                <w:rFonts w:cs="Arial"/>
                <w:color w:val="000000"/>
                <w:szCs w:val="22"/>
                <w:lang w:eastAsia="en-GB"/>
              </w:rPr>
            </w:pPr>
          </w:p>
          <w:p w14:paraId="2B5A8575" w14:textId="77777777" w:rsidR="00294127" w:rsidRPr="00683A60" w:rsidRDefault="00294127" w:rsidP="00683A60">
            <w:pPr>
              <w:overflowPunct/>
              <w:autoSpaceDE/>
              <w:autoSpaceDN/>
              <w:adjustRightInd/>
              <w:rPr>
                <w:rFonts w:cs="Arial"/>
                <w:color w:val="000000"/>
                <w:szCs w:val="22"/>
                <w:lang w:eastAsia="en-GB"/>
              </w:rPr>
            </w:pPr>
          </w:p>
        </w:tc>
      </w:tr>
      <w:tr w:rsidR="00294127" w:rsidRPr="0028617C" w14:paraId="30D74A62" w14:textId="77777777" w:rsidTr="00683A60">
        <w:trPr>
          <w:trHeight w:val="20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A7FBD" w14:textId="68CEC27B" w:rsidR="00294127" w:rsidRPr="007B4EA6" w:rsidRDefault="004C0987"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Woking South</w:t>
            </w:r>
            <w:r w:rsidR="00294127"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31F8B" w14:textId="111D4F63" w:rsidR="00294127" w:rsidRPr="00683A60" w:rsidRDefault="00821DE5" w:rsidP="00683A60">
            <w:pPr>
              <w:overflowPunct/>
              <w:autoSpaceDE/>
              <w:autoSpaceDN/>
              <w:adjustRightInd/>
              <w:rPr>
                <w:rFonts w:cs="Arial"/>
                <w:color w:val="000000"/>
                <w:szCs w:val="22"/>
                <w:lang w:eastAsia="en-GB"/>
              </w:rPr>
            </w:pPr>
            <w:r w:rsidRPr="00683A60">
              <w:rPr>
                <w:rFonts w:cs="Arial"/>
                <w:color w:val="000000"/>
                <w:szCs w:val="22"/>
                <w:lang w:eastAsia="en-GB"/>
              </w:rPr>
              <w:t>11,059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E05F1" w14:textId="0CCBFFDC" w:rsidR="00294127" w:rsidRPr="00683A60" w:rsidRDefault="001F2141"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-7%</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33024" w14:textId="77777777" w:rsidR="00704C35" w:rsidRDefault="00704C35" w:rsidP="00F44F8C">
            <w:pPr>
              <w:pStyle w:val="NoSpacing"/>
              <w:rPr>
                <w:rFonts w:ascii="Arial" w:hAnsi="Arial" w:cs="Arial"/>
              </w:rPr>
            </w:pPr>
          </w:p>
          <w:p w14:paraId="2B0394AD" w14:textId="16124B65" w:rsidR="00F44F8C" w:rsidRPr="00683A60" w:rsidRDefault="00F44F8C" w:rsidP="00F44F8C">
            <w:pPr>
              <w:pStyle w:val="NoSpacing"/>
              <w:rPr>
                <w:rFonts w:ascii="Arial" w:hAnsi="Arial" w:cs="Arial"/>
              </w:rPr>
            </w:pPr>
            <w:r w:rsidRPr="00683A60">
              <w:rPr>
                <w:rFonts w:ascii="Arial" w:hAnsi="Arial" w:cs="Arial"/>
              </w:rPr>
              <w:t xml:space="preserve">By moving Mayford and Sutton Green (D3 and D6) into Woking South West (combined these were a former single-member ward of Woking BC from 2000-2016), there is the opportunity to make the Woking South division coterminous with the Woking BC Hoe Valley ward. This is achieved by moving in Old Woking (E4) from the current Woking South East division. </w:t>
            </w:r>
          </w:p>
          <w:p w14:paraId="436B758F" w14:textId="77777777" w:rsidR="00F44F8C" w:rsidRPr="00683A60" w:rsidRDefault="00F44F8C" w:rsidP="00F44F8C">
            <w:pPr>
              <w:pStyle w:val="NoSpacing"/>
              <w:rPr>
                <w:rFonts w:ascii="Arial" w:hAnsi="Arial" w:cs="Arial"/>
              </w:rPr>
            </w:pPr>
          </w:p>
          <w:p w14:paraId="0C89B815" w14:textId="521F5267" w:rsidR="00F44F8C" w:rsidRPr="00683A60" w:rsidRDefault="00F44F8C" w:rsidP="00F44F8C">
            <w:pPr>
              <w:pStyle w:val="NoSpacing"/>
              <w:rPr>
                <w:rFonts w:ascii="Arial" w:hAnsi="Arial" w:cs="Arial"/>
              </w:rPr>
            </w:pPr>
            <w:r w:rsidRPr="00683A60">
              <w:rPr>
                <w:rFonts w:ascii="Arial" w:hAnsi="Arial" w:cs="Arial"/>
              </w:rPr>
              <w:t>In order to accommodate this, Woking South would lost around 66% of the old Mount Hermon West Woking BC ward; Mount Hermon is currently split between two divisions anyway and keeping the new Mount Hermon ward together within a division could not be achieved without significant changes. The result is a ward within 500 electors of complete equity</w:t>
            </w:r>
            <w:r w:rsidR="004B68B5" w:rsidRPr="00683A60">
              <w:rPr>
                <w:rFonts w:ascii="Arial" w:hAnsi="Arial" w:cs="Arial"/>
              </w:rPr>
              <w:t>.</w:t>
            </w:r>
          </w:p>
          <w:p w14:paraId="1A67BBE6" w14:textId="77777777" w:rsidR="00F44F8C" w:rsidRPr="00683A60" w:rsidRDefault="00F44F8C" w:rsidP="00F44F8C">
            <w:pPr>
              <w:pStyle w:val="NoSpacing"/>
              <w:rPr>
                <w:rFonts w:ascii="Arial" w:hAnsi="Arial" w:cs="Arial"/>
              </w:rPr>
            </w:pPr>
          </w:p>
          <w:p w14:paraId="7FDCBB17" w14:textId="77777777" w:rsidR="00294127" w:rsidRDefault="00704C35" w:rsidP="00F44F8C">
            <w:pPr>
              <w:overflowPunct/>
              <w:autoSpaceDE/>
              <w:autoSpaceDN/>
              <w:adjustRightInd/>
              <w:rPr>
                <w:rFonts w:cs="Arial"/>
                <w:szCs w:val="22"/>
              </w:rPr>
            </w:pPr>
            <w:r>
              <w:rPr>
                <w:rFonts w:cs="Arial"/>
                <w:szCs w:val="22"/>
              </w:rPr>
              <w:t xml:space="preserve">This division includes polling districts: </w:t>
            </w:r>
            <w:r w:rsidR="00F44F8C" w:rsidRPr="00683A60">
              <w:rPr>
                <w:rFonts w:cs="Arial"/>
                <w:szCs w:val="22"/>
              </w:rPr>
              <w:t xml:space="preserve">E1, E2, E3, E4, E5, H1, H3 (part) </w:t>
            </w:r>
          </w:p>
          <w:p w14:paraId="665A4A0A" w14:textId="63F31796" w:rsidR="00704C35" w:rsidRPr="00683A60" w:rsidRDefault="00704C35" w:rsidP="00F44F8C">
            <w:pPr>
              <w:overflowPunct/>
              <w:autoSpaceDE/>
              <w:autoSpaceDN/>
              <w:adjustRightInd/>
              <w:rPr>
                <w:rFonts w:cs="Arial"/>
                <w:color w:val="000000"/>
                <w:szCs w:val="22"/>
                <w:lang w:eastAsia="en-GB"/>
              </w:rPr>
            </w:pPr>
          </w:p>
        </w:tc>
      </w:tr>
      <w:tr w:rsidR="00294127" w:rsidRPr="0028617C" w14:paraId="502885CC" w14:textId="77777777" w:rsidTr="00683A60">
        <w:trPr>
          <w:trHeight w:val="14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D68E4" w14:textId="4A5019D6" w:rsidR="00294127" w:rsidRPr="007B4EA6" w:rsidRDefault="006B7869"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Woking North</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DE420" w14:textId="02C85695" w:rsidR="00294127" w:rsidRPr="00683A60" w:rsidRDefault="002A2634" w:rsidP="00683A60">
            <w:pPr>
              <w:overflowPunct/>
              <w:autoSpaceDE/>
              <w:autoSpaceDN/>
              <w:adjustRightInd/>
              <w:rPr>
                <w:rFonts w:cs="Arial"/>
                <w:color w:val="000000"/>
                <w:szCs w:val="22"/>
                <w:lang w:eastAsia="en-GB"/>
              </w:rPr>
            </w:pPr>
            <w:r w:rsidRPr="00683A60">
              <w:rPr>
                <w:rFonts w:cs="Arial"/>
                <w:color w:val="000000"/>
                <w:szCs w:val="22"/>
                <w:lang w:eastAsia="en-GB"/>
              </w:rPr>
              <w:t>11,449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54551" w14:textId="566B2718" w:rsidR="00294127" w:rsidRPr="00683A60" w:rsidRDefault="002A2634"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-4%</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610B" w14:textId="77777777" w:rsidR="00905D54" w:rsidRPr="00683A60" w:rsidRDefault="00905D54" w:rsidP="00905D54">
            <w:pPr>
              <w:pStyle w:val="NoSpacing"/>
              <w:rPr>
                <w:rFonts w:ascii="Arial" w:hAnsi="Arial" w:cs="Arial"/>
              </w:rPr>
            </w:pPr>
            <w:r w:rsidRPr="00683A60">
              <w:rPr>
                <w:rFonts w:ascii="Arial" w:hAnsi="Arial" w:cs="Arial"/>
              </w:rPr>
              <w:t>Woking North was created from the old Woking Central ward plus the then borough ward of Horsell East and Woodham. There is an opportunity to vary this ward slightly and make it coterminous with the new borough ward of Canalside, combined with parts of Horsell as it is at the moment. That would mean part of the current Woking North division joining another division, with which it would also be coterminous in terms of current borough ward boundaries. To compensate for this, a slightly smaller part of the current Goldsworth East and Horsell Village division moves across to join Horsell East in the division.</w:t>
            </w:r>
          </w:p>
          <w:p w14:paraId="4B4C8B15" w14:textId="77777777" w:rsidR="00905D54" w:rsidRPr="00683A60" w:rsidRDefault="00905D54" w:rsidP="00905D54">
            <w:pPr>
              <w:pStyle w:val="NoSpacing"/>
              <w:rPr>
                <w:rFonts w:ascii="Arial" w:hAnsi="Arial" w:cs="Arial"/>
              </w:rPr>
            </w:pPr>
          </w:p>
          <w:p w14:paraId="5280854A" w14:textId="77777777" w:rsidR="00905D54" w:rsidRPr="00683A60" w:rsidRDefault="00905D54" w:rsidP="00905D54">
            <w:pPr>
              <w:pStyle w:val="NoSpacing"/>
              <w:rPr>
                <w:rFonts w:ascii="Arial" w:hAnsi="Arial" w:cs="Arial"/>
              </w:rPr>
            </w:pPr>
            <w:r w:rsidRPr="00683A60">
              <w:rPr>
                <w:rFonts w:ascii="Arial" w:hAnsi="Arial" w:cs="Arial"/>
              </w:rPr>
              <w:t>Bringing Canalside together would respect the natural division of the railway line while also creating a division functionally very similar to the present one but within 150 electors of complete equity.</w:t>
            </w:r>
          </w:p>
          <w:p w14:paraId="27863E80" w14:textId="77777777" w:rsidR="00905D54" w:rsidRPr="00683A60" w:rsidRDefault="00905D54" w:rsidP="00905D54">
            <w:pPr>
              <w:pStyle w:val="NoSpacing"/>
              <w:rPr>
                <w:rFonts w:ascii="Arial" w:hAnsi="Arial" w:cs="Arial"/>
              </w:rPr>
            </w:pPr>
          </w:p>
          <w:p w14:paraId="1106E269" w14:textId="7CB09843" w:rsidR="00294127" w:rsidRPr="00704C35" w:rsidRDefault="00704C35" w:rsidP="00704C35">
            <w:pPr>
              <w:pStyle w:val="NoSpacing"/>
              <w:rPr>
                <w:rFonts w:ascii="Arial" w:hAnsi="Arial" w:cs="Arial"/>
              </w:rPr>
            </w:pPr>
            <w:r>
              <w:rPr>
                <w:rFonts w:ascii="Arial" w:hAnsi="Arial" w:cs="Arial"/>
              </w:rPr>
              <w:t xml:space="preserve">This division includes polling districts: </w:t>
            </w:r>
            <w:r w:rsidR="00905D54" w:rsidRPr="00683A60">
              <w:rPr>
                <w:rFonts w:ascii="Arial" w:hAnsi="Arial" w:cs="Arial"/>
              </w:rPr>
              <w:t>B1, B2, B3, B4, B5, B6, F2, F3</w:t>
            </w:r>
          </w:p>
        </w:tc>
      </w:tr>
      <w:tr w:rsidR="00294127" w:rsidRPr="0028617C" w14:paraId="1E1260F9" w14:textId="77777777" w:rsidTr="00683A60">
        <w:trPr>
          <w:trHeight w:val="13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62725" w14:textId="77777777" w:rsidR="00294127" w:rsidRPr="007B4EA6" w:rsidRDefault="00793B13"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Heathlands and St Johns</w:t>
            </w:r>
            <w:r w:rsidR="00294127" w:rsidRPr="007B4EA6">
              <w:rPr>
                <w:rFonts w:cs="Arial"/>
                <w:b/>
                <w:bCs/>
                <w:color w:val="000000"/>
                <w:szCs w:val="22"/>
                <w:lang w:eastAsia="en-GB"/>
              </w:rPr>
              <w:t>​</w:t>
            </w:r>
          </w:p>
          <w:p w14:paraId="74B596E0" w14:textId="77777777" w:rsidR="00660371" w:rsidRPr="007B4EA6" w:rsidRDefault="00660371" w:rsidP="00683A60">
            <w:pPr>
              <w:overflowPunct/>
              <w:autoSpaceDE/>
              <w:autoSpaceDN/>
              <w:adjustRightInd/>
              <w:jc w:val="center"/>
              <w:rPr>
                <w:rFonts w:cs="Arial"/>
                <w:b/>
                <w:bCs/>
                <w:color w:val="000000"/>
                <w:szCs w:val="22"/>
                <w:lang w:eastAsia="en-GB"/>
              </w:rPr>
            </w:pPr>
          </w:p>
          <w:p w14:paraId="3DA1D108" w14:textId="4FD56FCE" w:rsidR="00660371" w:rsidRPr="007B4EA6" w:rsidRDefault="007B4EA6" w:rsidP="00683A60">
            <w:pPr>
              <w:overflowPunct/>
              <w:autoSpaceDE/>
              <w:autoSpaceDN/>
              <w:adjustRightInd/>
              <w:jc w:val="center"/>
              <w:rPr>
                <w:rFonts w:cs="Arial"/>
                <w:b/>
                <w:bCs/>
                <w:i/>
                <w:iCs/>
                <w:color w:val="000000"/>
                <w:szCs w:val="22"/>
                <w:lang w:eastAsia="en-GB"/>
              </w:rPr>
            </w:pPr>
            <w:r w:rsidRPr="007B4EA6">
              <w:rPr>
                <w:rFonts w:cs="Arial"/>
                <w:b/>
                <w:bCs/>
                <w:i/>
                <w:iCs/>
                <w:color w:val="000000"/>
                <w:szCs w:val="22"/>
                <w:lang w:eastAsia="en-GB"/>
              </w:rPr>
              <w:t>currently</w:t>
            </w:r>
            <w:r w:rsidR="00660371" w:rsidRPr="007B4EA6">
              <w:rPr>
                <w:rFonts w:cs="Arial"/>
                <w:b/>
                <w:bCs/>
                <w:i/>
                <w:iCs/>
                <w:color w:val="000000"/>
                <w:szCs w:val="22"/>
                <w:lang w:eastAsia="en-GB"/>
              </w:rPr>
              <w:t xml:space="preserve"> </w:t>
            </w:r>
            <w:r w:rsidR="00660371" w:rsidRPr="007B4EA6">
              <w:rPr>
                <w:rFonts w:cs="Arial"/>
                <w:b/>
                <w:bCs/>
                <w:i/>
                <w:iCs/>
                <w:szCs w:val="22"/>
              </w:rPr>
              <w:t>Woking South West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CE54B" w14:textId="6230B4EC" w:rsidR="00294127" w:rsidRPr="00683A60" w:rsidRDefault="002A2634" w:rsidP="00683A60">
            <w:pPr>
              <w:overflowPunct/>
              <w:autoSpaceDE/>
              <w:autoSpaceDN/>
              <w:adjustRightInd/>
              <w:rPr>
                <w:rFonts w:cs="Arial"/>
                <w:color w:val="000000"/>
                <w:szCs w:val="22"/>
                <w:lang w:eastAsia="en-GB"/>
              </w:rPr>
            </w:pPr>
            <w:r w:rsidRPr="00683A60">
              <w:rPr>
                <w:rFonts w:cs="Arial"/>
                <w:color w:val="000000"/>
                <w:szCs w:val="22"/>
                <w:lang w:eastAsia="en-GB"/>
              </w:rPr>
              <w:t>12,0</w:t>
            </w:r>
            <w:r w:rsidR="00744BBE" w:rsidRPr="00683A60">
              <w:rPr>
                <w:rFonts w:cs="Arial"/>
                <w:color w:val="000000"/>
                <w:szCs w:val="22"/>
                <w:lang w:eastAsia="en-GB"/>
              </w:rPr>
              <w:t>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5295D" w14:textId="105F642C" w:rsidR="00294127" w:rsidRPr="00683A60" w:rsidRDefault="00744BBE"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1%</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0CD9A" w14:textId="77777777" w:rsidR="00B1135A" w:rsidRDefault="00B1135A" w:rsidP="006A1DDD">
            <w:pPr>
              <w:pStyle w:val="NoSpacing"/>
              <w:rPr>
                <w:rFonts w:ascii="Arial" w:hAnsi="Arial" w:cs="Arial"/>
              </w:rPr>
            </w:pPr>
          </w:p>
          <w:p w14:paraId="5BE3B1A4" w14:textId="455A7329" w:rsidR="006A1DDD" w:rsidRPr="00683A60" w:rsidRDefault="006A1DDD" w:rsidP="006A1DDD">
            <w:pPr>
              <w:pStyle w:val="NoSpacing"/>
              <w:rPr>
                <w:rFonts w:ascii="Arial" w:hAnsi="Arial" w:cs="Arial"/>
              </w:rPr>
            </w:pPr>
            <w:r w:rsidRPr="00683A60">
              <w:rPr>
                <w:rFonts w:ascii="Arial" w:hAnsi="Arial" w:cs="Arial"/>
              </w:rPr>
              <w:t>The current Woking South West ward is undersized and contains no complete borough wards within it. Under these proposals, the current Heathlands ward would be completely contained within it, along with the retention of the Percheron Drive area of Knaphill (G2) and St John’s Village (K2). The Goldsworth East polling district (K3), also part of the current St John’s borough ward, would join the division. This would create a division that runs along the Basingstoke Canal from the town centre to Brookwood and it is one that brings together villages already linked by borough wards.</w:t>
            </w:r>
          </w:p>
          <w:p w14:paraId="4922C2A9" w14:textId="77777777" w:rsidR="006A1DDD" w:rsidRPr="00683A60" w:rsidRDefault="006A1DDD" w:rsidP="006A1DDD">
            <w:pPr>
              <w:pStyle w:val="NoSpacing"/>
              <w:rPr>
                <w:rFonts w:ascii="Arial" w:hAnsi="Arial" w:cs="Arial"/>
              </w:rPr>
            </w:pPr>
          </w:p>
          <w:p w14:paraId="55929E51" w14:textId="77777777" w:rsidR="006A1DDD" w:rsidRPr="00683A60" w:rsidRDefault="006A1DDD" w:rsidP="006A1DDD">
            <w:pPr>
              <w:pStyle w:val="NoSpacing"/>
              <w:rPr>
                <w:rFonts w:ascii="Arial" w:hAnsi="Arial" w:cs="Arial"/>
              </w:rPr>
            </w:pPr>
            <w:r w:rsidRPr="00683A60">
              <w:rPr>
                <w:rFonts w:ascii="Arial" w:hAnsi="Arial" w:cs="Arial"/>
              </w:rPr>
              <w:t>The nature of this rural part of Woking is one of different villages, often slightly separated geographically, but the Heathlands ward has worked very well and this proposal would also be within 500 electors of complete equity.</w:t>
            </w:r>
          </w:p>
          <w:p w14:paraId="74D069DB" w14:textId="77777777" w:rsidR="006A1DDD" w:rsidRPr="00683A60" w:rsidRDefault="006A1DDD" w:rsidP="006A1DDD">
            <w:pPr>
              <w:pStyle w:val="NoSpacing"/>
              <w:rPr>
                <w:rFonts w:ascii="Arial" w:hAnsi="Arial" w:cs="Arial"/>
              </w:rPr>
            </w:pPr>
          </w:p>
          <w:p w14:paraId="7A79EDFE" w14:textId="4ED145A1" w:rsidR="006A1DDD" w:rsidRPr="00683A60" w:rsidRDefault="00B1135A" w:rsidP="006A1DDD">
            <w:pPr>
              <w:pStyle w:val="NoSpacing"/>
              <w:rPr>
                <w:rFonts w:ascii="Arial" w:hAnsi="Arial" w:cs="Arial"/>
              </w:rPr>
            </w:pPr>
            <w:r>
              <w:rPr>
                <w:rFonts w:ascii="Arial" w:hAnsi="Arial" w:cs="Arial"/>
              </w:rPr>
              <w:t xml:space="preserve">This division includes polling districts: </w:t>
            </w:r>
            <w:r w:rsidR="006A1DDD" w:rsidRPr="00683A60">
              <w:rPr>
                <w:rFonts w:ascii="Arial" w:hAnsi="Arial" w:cs="Arial"/>
              </w:rPr>
              <w:t>D1, D2, D3, D4, D5, D6, K2, K3, G2</w:t>
            </w:r>
          </w:p>
          <w:p w14:paraId="54A6CCF9" w14:textId="3CF69CA1" w:rsidR="00294127" w:rsidRPr="00683A60" w:rsidRDefault="00294127" w:rsidP="00683A60">
            <w:pPr>
              <w:overflowPunct/>
              <w:autoSpaceDE/>
              <w:autoSpaceDN/>
              <w:adjustRightInd/>
              <w:rPr>
                <w:rFonts w:cs="Arial"/>
                <w:color w:val="000000"/>
                <w:szCs w:val="22"/>
                <w:lang w:eastAsia="en-GB"/>
              </w:rPr>
            </w:pPr>
          </w:p>
        </w:tc>
      </w:tr>
      <w:tr w:rsidR="00294127" w:rsidRPr="0028617C" w14:paraId="4874AA3F" w14:textId="77777777" w:rsidTr="00683A60">
        <w:trPr>
          <w:trHeight w:val="14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20077" w14:textId="77777777" w:rsidR="00294127" w:rsidRPr="007B4EA6" w:rsidRDefault="006149A9"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Pyrford and Heathside</w:t>
            </w:r>
            <w:r w:rsidR="00294127" w:rsidRPr="007B4EA6">
              <w:rPr>
                <w:rFonts w:cs="Arial"/>
                <w:b/>
                <w:bCs/>
                <w:color w:val="000000"/>
                <w:szCs w:val="22"/>
                <w:lang w:eastAsia="en-GB"/>
              </w:rPr>
              <w:t>​</w:t>
            </w:r>
          </w:p>
          <w:p w14:paraId="633A5EB6" w14:textId="77777777" w:rsidR="00FB71D5" w:rsidRPr="007B4EA6" w:rsidRDefault="00FB71D5" w:rsidP="00683A60">
            <w:pPr>
              <w:overflowPunct/>
              <w:autoSpaceDE/>
              <w:autoSpaceDN/>
              <w:adjustRightInd/>
              <w:jc w:val="center"/>
              <w:rPr>
                <w:rFonts w:cs="Arial"/>
                <w:b/>
                <w:bCs/>
                <w:color w:val="000000"/>
                <w:szCs w:val="22"/>
                <w:lang w:eastAsia="en-GB"/>
              </w:rPr>
            </w:pPr>
          </w:p>
          <w:p w14:paraId="421EF53E" w14:textId="1C0E3E23" w:rsidR="00FB71D5" w:rsidRPr="00025421" w:rsidRDefault="00025421" w:rsidP="00683A60">
            <w:pPr>
              <w:overflowPunct/>
              <w:autoSpaceDE/>
              <w:autoSpaceDN/>
              <w:adjustRightInd/>
              <w:jc w:val="center"/>
              <w:rPr>
                <w:rFonts w:cs="Arial"/>
                <w:b/>
                <w:bCs/>
                <w:i/>
                <w:iCs/>
                <w:color w:val="000000"/>
                <w:szCs w:val="22"/>
                <w:lang w:eastAsia="en-GB"/>
              </w:rPr>
            </w:pPr>
            <w:r w:rsidRPr="00025421">
              <w:rPr>
                <w:rFonts w:cs="Arial"/>
                <w:b/>
                <w:bCs/>
                <w:i/>
                <w:iCs/>
                <w:szCs w:val="22"/>
              </w:rPr>
              <w:t xml:space="preserve">Currently </w:t>
            </w:r>
            <w:r w:rsidR="00FB71D5" w:rsidRPr="00025421">
              <w:rPr>
                <w:rFonts w:cs="Arial"/>
                <w:b/>
                <w:bCs/>
                <w:i/>
                <w:iCs/>
                <w:szCs w:val="22"/>
              </w:rPr>
              <w:t>Woking South East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31B9F" w14:textId="756C5F02" w:rsidR="00294127" w:rsidRPr="00683A60" w:rsidRDefault="00205227" w:rsidP="00683A60">
            <w:pPr>
              <w:overflowPunct/>
              <w:autoSpaceDE/>
              <w:autoSpaceDN/>
              <w:adjustRightInd/>
              <w:rPr>
                <w:rFonts w:cs="Arial"/>
                <w:color w:val="000000"/>
                <w:szCs w:val="22"/>
                <w:lang w:eastAsia="en-GB"/>
              </w:rPr>
            </w:pPr>
            <w:r w:rsidRPr="00683A60">
              <w:rPr>
                <w:rFonts w:cs="Arial"/>
                <w:color w:val="000000"/>
                <w:szCs w:val="22"/>
                <w:lang w:eastAsia="en-GB"/>
              </w:rPr>
              <w:t>11,424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78345" w14:textId="4B402395" w:rsidR="00294127" w:rsidRPr="00683A60" w:rsidRDefault="000F4000"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-4%</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C0E0A" w14:textId="77777777" w:rsidR="00B1135A" w:rsidRDefault="00B1135A" w:rsidP="00C75D6D">
            <w:pPr>
              <w:pStyle w:val="NoSpacing"/>
              <w:rPr>
                <w:rFonts w:ascii="Arial" w:hAnsi="Arial" w:cs="Arial"/>
              </w:rPr>
            </w:pPr>
          </w:p>
          <w:p w14:paraId="3E7F09DB" w14:textId="4D69075B" w:rsidR="00C75D6D" w:rsidRPr="00683A60" w:rsidRDefault="00C75D6D" w:rsidP="00C75D6D">
            <w:pPr>
              <w:pStyle w:val="NoSpacing"/>
              <w:rPr>
                <w:rFonts w:ascii="Arial" w:hAnsi="Arial" w:cs="Arial"/>
              </w:rPr>
            </w:pPr>
            <w:r w:rsidRPr="00683A60">
              <w:rPr>
                <w:rFonts w:ascii="Arial" w:hAnsi="Arial" w:cs="Arial"/>
              </w:rPr>
              <w:t>The reconfiguration of both Woking North and Woking South allows the South East division to become more coterminous with the Pyrford ward of Woking Borough Council. This involves the transfer of the Maybury Estate (J1) into the division along with the removal of Old Woking (E4).</w:t>
            </w:r>
          </w:p>
          <w:p w14:paraId="2AA9EA54" w14:textId="77777777" w:rsidR="00C75D6D" w:rsidRPr="00683A60" w:rsidRDefault="00C75D6D" w:rsidP="00C75D6D">
            <w:pPr>
              <w:pStyle w:val="NoSpacing"/>
              <w:rPr>
                <w:rFonts w:ascii="Arial" w:hAnsi="Arial" w:cs="Arial"/>
              </w:rPr>
            </w:pPr>
          </w:p>
          <w:p w14:paraId="538F7533" w14:textId="77777777" w:rsidR="00C75D6D" w:rsidRPr="00683A60" w:rsidRDefault="00C75D6D" w:rsidP="00C75D6D">
            <w:pPr>
              <w:pStyle w:val="NoSpacing"/>
              <w:rPr>
                <w:rFonts w:ascii="Arial" w:hAnsi="Arial" w:cs="Arial"/>
              </w:rPr>
            </w:pPr>
            <w:r w:rsidRPr="00683A60">
              <w:rPr>
                <w:rFonts w:ascii="Arial" w:hAnsi="Arial" w:cs="Arial"/>
              </w:rPr>
              <w:t>While ideally the J4 polling district – or that part of it south of the Old Woking Road – would also be included in the division, such a move would impact the equity of both wards and is not possible to achieve. So the proposal is that J4 should remain in The Byfleets.</w:t>
            </w:r>
          </w:p>
          <w:p w14:paraId="419019D1" w14:textId="77777777" w:rsidR="00C75D6D" w:rsidRPr="00683A60" w:rsidRDefault="00C75D6D" w:rsidP="00C75D6D">
            <w:pPr>
              <w:pStyle w:val="NoSpacing"/>
              <w:rPr>
                <w:rFonts w:ascii="Arial" w:hAnsi="Arial" w:cs="Arial"/>
              </w:rPr>
            </w:pPr>
          </w:p>
          <w:p w14:paraId="503B3D2B" w14:textId="77777777" w:rsidR="00C75D6D" w:rsidRPr="00683A60" w:rsidRDefault="00C75D6D" w:rsidP="00C75D6D">
            <w:pPr>
              <w:pStyle w:val="NoSpacing"/>
              <w:rPr>
                <w:rFonts w:ascii="Arial" w:hAnsi="Arial" w:cs="Arial"/>
              </w:rPr>
            </w:pPr>
            <w:r w:rsidRPr="00683A60">
              <w:rPr>
                <w:rFonts w:ascii="Arial" w:hAnsi="Arial" w:cs="Arial"/>
              </w:rPr>
              <w:t>As now, Woking South East retains the former Mount Hermon East Woking BC ward, along with around 1,000 voters from the old Mount Hermon West ward from the area to the east of the Guildford Road.</w:t>
            </w:r>
          </w:p>
          <w:p w14:paraId="0BA67716" w14:textId="77777777" w:rsidR="00C75D6D" w:rsidRPr="00683A60" w:rsidRDefault="00C75D6D" w:rsidP="00C75D6D">
            <w:pPr>
              <w:pStyle w:val="NoSpacing"/>
              <w:rPr>
                <w:rFonts w:ascii="Arial" w:hAnsi="Arial" w:cs="Arial"/>
              </w:rPr>
            </w:pPr>
          </w:p>
          <w:p w14:paraId="0C334004" w14:textId="77777777" w:rsidR="00C75D6D" w:rsidRPr="00683A60" w:rsidRDefault="00C75D6D" w:rsidP="00C75D6D">
            <w:pPr>
              <w:pStyle w:val="NoSpacing"/>
              <w:rPr>
                <w:rFonts w:ascii="Arial" w:hAnsi="Arial" w:cs="Arial"/>
              </w:rPr>
            </w:pPr>
            <w:r w:rsidRPr="00683A60">
              <w:rPr>
                <w:rFonts w:ascii="Arial" w:hAnsi="Arial" w:cs="Arial"/>
              </w:rPr>
              <w:t>This new division provides greater coterminosity and is within 150 voters of complete equity.</w:t>
            </w:r>
          </w:p>
          <w:p w14:paraId="252B95B3" w14:textId="77777777" w:rsidR="00C75D6D" w:rsidRPr="00683A60" w:rsidRDefault="00C75D6D" w:rsidP="00C75D6D">
            <w:pPr>
              <w:pStyle w:val="NoSpacing"/>
              <w:rPr>
                <w:rFonts w:ascii="Arial" w:hAnsi="Arial" w:cs="Arial"/>
              </w:rPr>
            </w:pPr>
          </w:p>
          <w:p w14:paraId="71F04F73" w14:textId="77777777" w:rsidR="00294127" w:rsidRDefault="00B1135A" w:rsidP="00C75D6D">
            <w:pPr>
              <w:overflowPunct/>
              <w:autoSpaceDE/>
              <w:autoSpaceDN/>
              <w:adjustRightInd/>
              <w:rPr>
                <w:rFonts w:cs="Arial"/>
                <w:szCs w:val="22"/>
              </w:rPr>
            </w:pPr>
            <w:r>
              <w:rPr>
                <w:rFonts w:cs="Arial"/>
                <w:szCs w:val="22"/>
              </w:rPr>
              <w:t>This division includes polling districts J</w:t>
            </w:r>
            <w:r w:rsidR="00C75D6D" w:rsidRPr="00683A60">
              <w:rPr>
                <w:rFonts w:cs="Arial"/>
                <w:szCs w:val="22"/>
              </w:rPr>
              <w:t>1, J2, J3, H2, H4, H3 (part)</w:t>
            </w:r>
            <w:r w:rsidR="00960E1E">
              <w:rPr>
                <w:rFonts w:cs="Arial"/>
                <w:szCs w:val="22"/>
              </w:rPr>
              <w:t>.</w:t>
            </w:r>
          </w:p>
          <w:p w14:paraId="28EDDE44" w14:textId="084FA16C" w:rsidR="00960E1E" w:rsidRPr="00683A60" w:rsidRDefault="00960E1E" w:rsidP="00C75D6D">
            <w:pPr>
              <w:overflowPunct/>
              <w:autoSpaceDE/>
              <w:autoSpaceDN/>
              <w:adjustRightInd/>
              <w:rPr>
                <w:rFonts w:cs="Arial"/>
                <w:color w:val="000000"/>
                <w:szCs w:val="22"/>
                <w:lang w:eastAsia="en-GB"/>
              </w:rPr>
            </w:pPr>
          </w:p>
        </w:tc>
      </w:tr>
      <w:tr w:rsidR="00294127" w:rsidRPr="0028617C" w14:paraId="2AF5858D" w14:textId="77777777" w:rsidTr="00683A60">
        <w:trPr>
          <w:trHeight w:val="73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42108" w14:textId="77777777" w:rsidR="00294127" w:rsidRPr="007B4EA6" w:rsidRDefault="00294127" w:rsidP="00683A60">
            <w:pPr>
              <w:overflowPunct/>
              <w:autoSpaceDE/>
              <w:autoSpaceDN/>
              <w:adjustRightInd/>
              <w:jc w:val="center"/>
              <w:rPr>
                <w:rFonts w:cs="Arial"/>
                <w:b/>
                <w:bCs/>
                <w:color w:val="000000"/>
                <w:szCs w:val="22"/>
                <w:lang w:eastAsia="en-GB"/>
              </w:rPr>
            </w:pPr>
            <w:r w:rsidRPr="007B4EA6">
              <w:rPr>
                <w:rFonts w:cs="Arial"/>
                <w:b/>
                <w:bCs/>
                <w:color w:val="000000"/>
                <w:position w:val="-1"/>
                <w:szCs w:val="22"/>
                <w:lang w:eastAsia="en-GB"/>
              </w:rPr>
              <w:t>The Byfleets (NO CHANGE)</w:t>
            </w:r>
            <w:r w:rsidRPr="007B4EA6">
              <w:rPr>
                <w:rFonts w:cs="Arial"/>
                <w:b/>
                <w:bCs/>
                <w:color w:val="000000"/>
                <w:szCs w:val="22"/>
                <w:lang w:eastAsia="en-GB"/>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0A32" w14:textId="77777777" w:rsidR="00294127" w:rsidRPr="00683A60" w:rsidRDefault="00294127" w:rsidP="00683A60">
            <w:pPr>
              <w:overflowPunct/>
              <w:autoSpaceDE/>
              <w:autoSpaceDN/>
              <w:adjustRightInd/>
              <w:rPr>
                <w:rFonts w:cs="Arial"/>
                <w:color w:val="000000"/>
                <w:szCs w:val="22"/>
                <w:lang w:eastAsia="en-GB"/>
              </w:rPr>
            </w:pPr>
            <w:r w:rsidRPr="00683A60">
              <w:rPr>
                <w:rFonts w:cs="Arial"/>
                <w:color w:val="000000"/>
                <w:szCs w:val="22"/>
                <w:lang w:eastAsia="en-GB"/>
              </w:rPr>
              <w:t>11,131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7F548" w14:textId="77777777" w:rsidR="00294127" w:rsidRPr="00683A60" w:rsidRDefault="00294127" w:rsidP="00683A60">
            <w:pPr>
              <w:overflowPunct/>
              <w:autoSpaceDE/>
              <w:autoSpaceDN/>
              <w:adjustRightInd/>
              <w:jc w:val="center"/>
              <w:rPr>
                <w:rFonts w:cs="Arial"/>
                <w:color w:val="000000"/>
                <w:szCs w:val="22"/>
                <w:lang w:eastAsia="en-GB"/>
              </w:rPr>
            </w:pPr>
            <w:r w:rsidRPr="00683A60">
              <w:rPr>
                <w:rFonts w:cs="Arial"/>
                <w:color w:val="000000"/>
                <w:position w:val="-1"/>
                <w:szCs w:val="22"/>
                <w:lang w:eastAsia="en-GB"/>
              </w:rPr>
              <w:t>-7%</w:t>
            </w:r>
            <w:r w:rsidRPr="00683A60">
              <w:rPr>
                <w:rFonts w:cs="Arial"/>
                <w:color w:val="000000"/>
                <w:szCs w:val="22"/>
                <w:lang w:eastAsia="en-GB"/>
              </w:rPr>
              <w:t>​</w:t>
            </w:r>
          </w:p>
        </w:tc>
        <w:tc>
          <w:tcPr>
            <w:tcW w:w="9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34E93" w14:textId="77777777" w:rsidR="00960E1E" w:rsidRDefault="00294127" w:rsidP="00154C99">
            <w:pPr>
              <w:pStyle w:val="NoSpacing"/>
              <w:rPr>
                <w:rFonts w:ascii="Arial" w:hAnsi="Arial" w:cs="Arial"/>
                <w:color w:val="000000"/>
                <w:lang w:eastAsia="en-GB"/>
              </w:rPr>
            </w:pPr>
            <w:r w:rsidRPr="00683A60">
              <w:rPr>
                <w:rFonts w:ascii="Arial" w:hAnsi="Arial" w:cs="Arial"/>
                <w:color w:val="000000"/>
                <w:lang w:eastAsia="en-GB"/>
              </w:rPr>
              <w:t>​</w:t>
            </w:r>
          </w:p>
          <w:p w14:paraId="7A85387C" w14:textId="2B24D6DB" w:rsidR="00154C99" w:rsidRPr="00683A60" w:rsidRDefault="00154C99" w:rsidP="00154C99">
            <w:pPr>
              <w:pStyle w:val="NoSpacing"/>
              <w:rPr>
                <w:rFonts w:ascii="Arial" w:hAnsi="Arial" w:cs="Arial"/>
              </w:rPr>
            </w:pPr>
            <w:r w:rsidRPr="00683A60">
              <w:rPr>
                <w:rFonts w:ascii="Arial" w:hAnsi="Arial" w:cs="Arial"/>
              </w:rPr>
              <w:t>There are no changes proposed in this division, which contains within it the new Byfleet and West Byfleet ward of Woking BC along with the J4 polling district in Pyrford. A considerable part of the J4 area is in West Byfleet in any case, so the number of voters who would consider themselves in Pyrford village but in the Byfleets division is small. The borough ward alone is insufficiently large to create equity but the current ward is only 350 voters fewer than complete equity so this remains the proposal.</w:t>
            </w:r>
          </w:p>
          <w:p w14:paraId="63D4DC9D" w14:textId="77777777" w:rsidR="00154C99" w:rsidRPr="00683A60" w:rsidRDefault="00154C99" w:rsidP="00154C99">
            <w:pPr>
              <w:pStyle w:val="NoSpacing"/>
              <w:rPr>
                <w:rFonts w:ascii="Arial" w:hAnsi="Arial" w:cs="Arial"/>
              </w:rPr>
            </w:pPr>
          </w:p>
          <w:p w14:paraId="78205EB4" w14:textId="0BD7DA38" w:rsidR="00154C99" w:rsidRPr="00683A60" w:rsidRDefault="00154C99" w:rsidP="00154C99">
            <w:pPr>
              <w:pStyle w:val="NoSpacing"/>
              <w:rPr>
                <w:rFonts w:ascii="Arial" w:hAnsi="Arial" w:cs="Arial"/>
              </w:rPr>
            </w:pPr>
            <w:r w:rsidRPr="00683A60">
              <w:rPr>
                <w:rFonts w:ascii="Arial" w:hAnsi="Arial" w:cs="Arial"/>
              </w:rPr>
              <w:t xml:space="preserve"> </w:t>
            </w:r>
            <w:r w:rsidR="00960E1E">
              <w:rPr>
                <w:rFonts w:ascii="Arial" w:hAnsi="Arial" w:cs="Arial"/>
              </w:rPr>
              <w:t xml:space="preserve">This division includes polling districts: </w:t>
            </w:r>
            <w:r w:rsidRPr="00683A60">
              <w:rPr>
                <w:rFonts w:ascii="Arial" w:hAnsi="Arial" w:cs="Arial"/>
              </w:rPr>
              <w:t>A1, A2 J4</w:t>
            </w:r>
          </w:p>
          <w:p w14:paraId="6CB9B22E" w14:textId="0CDE2045" w:rsidR="00294127" w:rsidRPr="00683A60" w:rsidRDefault="00294127" w:rsidP="00683A60">
            <w:pPr>
              <w:overflowPunct/>
              <w:autoSpaceDE/>
              <w:autoSpaceDN/>
              <w:adjustRightInd/>
              <w:rPr>
                <w:rFonts w:cs="Arial"/>
                <w:color w:val="000000"/>
                <w:szCs w:val="22"/>
                <w:lang w:eastAsia="en-GB"/>
              </w:rPr>
            </w:pPr>
          </w:p>
        </w:tc>
      </w:tr>
    </w:tbl>
    <w:p w14:paraId="368A9A88" w14:textId="77777777" w:rsidR="00294127" w:rsidRDefault="00294127">
      <w:pPr>
        <w:rPr>
          <w:b/>
          <w:bCs/>
          <w:color w:val="FF0000"/>
        </w:rPr>
      </w:pPr>
    </w:p>
    <w:sectPr w:rsidR="00294127">
      <w:headerReference w:type="even" r:id="rId18"/>
      <w:headerReference w:type="default" r:id="rId19"/>
      <w:footerReference w:type="even" r:id="rId20"/>
      <w:footerReference w:type="default" r:id="rId21"/>
      <w:headerReference w:type="first" r:id="rId22"/>
      <w:footerReference w:type="first" r:id="rId23"/>
      <w:type w:val="continuous"/>
      <w:pgSz w:w="16834" w:h="11909" w:orient="landscape" w:code="9"/>
      <w:pgMar w:top="1281" w:right="1151" w:bottom="851" w:left="851" w:header="709" w:footer="709" w:gutter="0"/>
      <w:paperSrc w:first="1" w:other="1"/>
      <w:pgNumType w:start="7"/>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A1EED" w14:textId="77777777" w:rsidR="0012306C" w:rsidRDefault="0012306C">
      <w:r>
        <w:separator/>
      </w:r>
    </w:p>
  </w:endnote>
  <w:endnote w:type="continuationSeparator" w:id="0">
    <w:p w14:paraId="5F1DFA8E" w14:textId="77777777" w:rsidR="0012306C" w:rsidRDefault="0012306C">
      <w:r>
        <w:continuationSeparator/>
      </w:r>
    </w:p>
  </w:endnote>
  <w:endnote w:type="continuationNotice" w:id="1">
    <w:p w14:paraId="60DFE799" w14:textId="77777777" w:rsidR="0012306C" w:rsidRDefault="00123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FA44C" w14:textId="77777777" w:rsidR="008256AD" w:rsidRDefault="008256AD">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7DF6" w14:textId="77777777" w:rsidR="008256AD" w:rsidRDefault="008256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3127" w14:textId="77777777" w:rsidR="008256AD" w:rsidRDefault="008256AD">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AB21A" w14:textId="77777777" w:rsidR="008256AD" w:rsidRDefault="00825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1A7A4" w14:textId="77777777" w:rsidR="0012306C" w:rsidRDefault="0012306C">
      <w:r>
        <w:separator/>
      </w:r>
    </w:p>
  </w:footnote>
  <w:footnote w:type="continuationSeparator" w:id="0">
    <w:p w14:paraId="74A5BB01" w14:textId="77777777" w:rsidR="0012306C" w:rsidRDefault="0012306C">
      <w:r>
        <w:continuationSeparator/>
      </w:r>
    </w:p>
  </w:footnote>
  <w:footnote w:type="continuationNotice" w:id="1">
    <w:p w14:paraId="558052AB" w14:textId="77777777" w:rsidR="0012306C" w:rsidRDefault="00123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0222" w14:textId="77777777" w:rsidR="008256AD" w:rsidRDefault="008256AD">
    <w:pPr>
      <w:pStyle w:val="Header"/>
      <w:jc w:val="center"/>
    </w:pPr>
  </w:p>
  <w:p w14:paraId="7C5F8E11" w14:textId="77777777" w:rsidR="008256AD" w:rsidRDefault="00825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473C" w14:textId="77777777" w:rsidR="008256AD" w:rsidRDefault="008256A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3B37" w14:textId="77777777" w:rsidR="008256AD" w:rsidRDefault="008256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192F" w14:textId="77777777" w:rsidR="008256AD" w:rsidRDefault="008256A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2CE55" w14:textId="77777777" w:rsidR="008256AD" w:rsidRDefault="00825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9C7"/>
    <w:multiLevelType w:val="multilevel"/>
    <w:tmpl w:val="8606093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8A6D0E"/>
    <w:multiLevelType w:val="hybridMultilevel"/>
    <w:tmpl w:val="CEBED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D20B8F"/>
    <w:multiLevelType w:val="hybridMultilevel"/>
    <w:tmpl w:val="4FD29F76"/>
    <w:lvl w:ilvl="0" w:tplc="0C86DBF0">
      <w:start w:val="1"/>
      <w:numFmt w:val="bullet"/>
      <w:lvlText w:val="•"/>
      <w:lvlJc w:val="left"/>
      <w:pPr>
        <w:tabs>
          <w:tab w:val="num" w:pos="720"/>
        </w:tabs>
        <w:ind w:left="720" w:hanging="360"/>
      </w:pPr>
      <w:rPr>
        <w:rFonts w:ascii="Arial" w:hAnsi="Arial" w:hint="default"/>
      </w:rPr>
    </w:lvl>
    <w:lvl w:ilvl="1" w:tplc="3970C6FE" w:tentative="1">
      <w:start w:val="1"/>
      <w:numFmt w:val="bullet"/>
      <w:lvlText w:val="•"/>
      <w:lvlJc w:val="left"/>
      <w:pPr>
        <w:tabs>
          <w:tab w:val="num" w:pos="1440"/>
        </w:tabs>
        <w:ind w:left="1440" w:hanging="360"/>
      </w:pPr>
      <w:rPr>
        <w:rFonts w:ascii="Arial" w:hAnsi="Arial" w:hint="default"/>
      </w:rPr>
    </w:lvl>
    <w:lvl w:ilvl="2" w:tplc="B7B889E2" w:tentative="1">
      <w:start w:val="1"/>
      <w:numFmt w:val="bullet"/>
      <w:lvlText w:val="•"/>
      <w:lvlJc w:val="left"/>
      <w:pPr>
        <w:tabs>
          <w:tab w:val="num" w:pos="2160"/>
        </w:tabs>
        <w:ind w:left="2160" w:hanging="360"/>
      </w:pPr>
      <w:rPr>
        <w:rFonts w:ascii="Arial" w:hAnsi="Arial" w:hint="default"/>
      </w:rPr>
    </w:lvl>
    <w:lvl w:ilvl="3" w:tplc="247CF6DE" w:tentative="1">
      <w:start w:val="1"/>
      <w:numFmt w:val="bullet"/>
      <w:lvlText w:val="•"/>
      <w:lvlJc w:val="left"/>
      <w:pPr>
        <w:tabs>
          <w:tab w:val="num" w:pos="2880"/>
        </w:tabs>
        <w:ind w:left="2880" w:hanging="360"/>
      </w:pPr>
      <w:rPr>
        <w:rFonts w:ascii="Arial" w:hAnsi="Arial" w:hint="default"/>
      </w:rPr>
    </w:lvl>
    <w:lvl w:ilvl="4" w:tplc="4CD88736" w:tentative="1">
      <w:start w:val="1"/>
      <w:numFmt w:val="bullet"/>
      <w:lvlText w:val="•"/>
      <w:lvlJc w:val="left"/>
      <w:pPr>
        <w:tabs>
          <w:tab w:val="num" w:pos="3600"/>
        </w:tabs>
        <w:ind w:left="3600" w:hanging="360"/>
      </w:pPr>
      <w:rPr>
        <w:rFonts w:ascii="Arial" w:hAnsi="Arial" w:hint="default"/>
      </w:rPr>
    </w:lvl>
    <w:lvl w:ilvl="5" w:tplc="B87CFCEE" w:tentative="1">
      <w:start w:val="1"/>
      <w:numFmt w:val="bullet"/>
      <w:lvlText w:val="•"/>
      <w:lvlJc w:val="left"/>
      <w:pPr>
        <w:tabs>
          <w:tab w:val="num" w:pos="4320"/>
        </w:tabs>
        <w:ind w:left="4320" w:hanging="360"/>
      </w:pPr>
      <w:rPr>
        <w:rFonts w:ascii="Arial" w:hAnsi="Arial" w:hint="default"/>
      </w:rPr>
    </w:lvl>
    <w:lvl w:ilvl="6" w:tplc="0380BB36" w:tentative="1">
      <w:start w:val="1"/>
      <w:numFmt w:val="bullet"/>
      <w:lvlText w:val="•"/>
      <w:lvlJc w:val="left"/>
      <w:pPr>
        <w:tabs>
          <w:tab w:val="num" w:pos="5040"/>
        </w:tabs>
        <w:ind w:left="5040" w:hanging="360"/>
      </w:pPr>
      <w:rPr>
        <w:rFonts w:ascii="Arial" w:hAnsi="Arial" w:hint="default"/>
      </w:rPr>
    </w:lvl>
    <w:lvl w:ilvl="7" w:tplc="A28C45E6" w:tentative="1">
      <w:start w:val="1"/>
      <w:numFmt w:val="bullet"/>
      <w:lvlText w:val="•"/>
      <w:lvlJc w:val="left"/>
      <w:pPr>
        <w:tabs>
          <w:tab w:val="num" w:pos="5760"/>
        </w:tabs>
        <w:ind w:left="5760" w:hanging="360"/>
      </w:pPr>
      <w:rPr>
        <w:rFonts w:ascii="Arial" w:hAnsi="Arial" w:hint="default"/>
      </w:rPr>
    </w:lvl>
    <w:lvl w:ilvl="8" w:tplc="021640E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7A7E7E"/>
    <w:multiLevelType w:val="multilevel"/>
    <w:tmpl w:val="FB105B0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C54397"/>
    <w:multiLevelType w:val="multilevel"/>
    <w:tmpl w:val="9DDEE25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6E22B7"/>
    <w:multiLevelType w:val="hybridMultilevel"/>
    <w:tmpl w:val="FC865DAE"/>
    <w:lvl w:ilvl="0" w:tplc="2FAC27E4">
      <w:start w:val="1"/>
      <w:numFmt w:val="upperLetter"/>
      <w:lvlText w:val="%1)"/>
      <w:lvlJc w:val="left"/>
      <w:pPr>
        <w:tabs>
          <w:tab w:val="num" w:pos="720"/>
        </w:tabs>
        <w:ind w:left="720" w:hanging="360"/>
      </w:pPr>
    </w:lvl>
    <w:lvl w:ilvl="1" w:tplc="C76E62EE" w:tentative="1">
      <w:start w:val="1"/>
      <w:numFmt w:val="upperLetter"/>
      <w:lvlText w:val="%2)"/>
      <w:lvlJc w:val="left"/>
      <w:pPr>
        <w:tabs>
          <w:tab w:val="num" w:pos="1440"/>
        </w:tabs>
        <w:ind w:left="1440" w:hanging="360"/>
      </w:pPr>
    </w:lvl>
    <w:lvl w:ilvl="2" w:tplc="BEE85C3E" w:tentative="1">
      <w:start w:val="1"/>
      <w:numFmt w:val="upperLetter"/>
      <w:lvlText w:val="%3)"/>
      <w:lvlJc w:val="left"/>
      <w:pPr>
        <w:tabs>
          <w:tab w:val="num" w:pos="2160"/>
        </w:tabs>
        <w:ind w:left="2160" w:hanging="360"/>
      </w:pPr>
    </w:lvl>
    <w:lvl w:ilvl="3" w:tplc="3C5C008E" w:tentative="1">
      <w:start w:val="1"/>
      <w:numFmt w:val="upperLetter"/>
      <w:lvlText w:val="%4)"/>
      <w:lvlJc w:val="left"/>
      <w:pPr>
        <w:tabs>
          <w:tab w:val="num" w:pos="2880"/>
        </w:tabs>
        <w:ind w:left="2880" w:hanging="360"/>
      </w:pPr>
    </w:lvl>
    <w:lvl w:ilvl="4" w:tplc="8A16FC84" w:tentative="1">
      <w:start w:val="1"/>
      <w:numFmt w:val="upperLetter"/>
      <w:lvlText w:val="%5)"/>
      <w:lvlJc w:val="left"/>
      <w:pPr>
        <w:tabs>
          <w:tab w:val="num" w:pos="3600"/>
        </w:tabs>
        <w:ind w:left="3600" w:hanging="360"/>
      </w:pPr>
    </w:lvl>
    <w:lvl w:ilvl="5" w:tplc="FAC062FA" w:tentative="1">
      <w:start w:val="1"/>
      <w:numFmt w:val="upperLetter"/>
      <w:lvlText w:val="%6)"/>
      <w:lvlJc w:val="left"/>
      <w:pPr>
        <w:tabs>
          <w:tab w:val="num" w:pos="4320"/>
        </w:tabs>
        <w:ind w:left="4320" w:hanging="360"/>
      </w:pPr>
    </w:lvl>
    <w:lvl w:ilvl="6" w:tplc="6F465F46" w:tentative="1">
      <w:start w:val="1"/>
      <w:numFmt w:val="upperLetter"/>
      <w:lvlText w:val="%7)"/>
      <w:lvlJc w:val="left"/>
      <w:pPr>
        <w:tabs>
          <w:tab w:val="num" w:pos="5040"/>
        </w:tabs>
        <w:ind w:left="5040" w:hanging="360"/>
      </w:pPr>
    </w:lvl>
    <w:lvl w:ilvl="7" w:tplc="649C53E8" w:tentative="1">
      <w:start w:val="1"/>
      <w:numFmt w:val="upperLetter"/>
      <w:lvlText w:val="%8)"/>
      <w:lvlJc w:val="left"/>
      <w:pPr>
        <w:tabs>
          <w:tab w:val="num" w:pos="5760"/>
        </w:tabs>
        <w:ind w:left="5760" w:hanging="360"/>
      </w:pPr>
    </w:lvl>
    <w:lvl w:ilvl="8" w:tplc="60DC3B5A" w:tentative="1">
      <w:start w:val="1"/>
      <w:numFmt w:val="upperLetter"/>
      <w:lvlText w:val="%9)"/>
      <w:lvlJc w:val="left"/>
      <w:pPr>
        <w:tabs>
          <w:tab w:val="num" w:pos="6480"/>
        </w:tabs>
        <w:ind w:left="6480" w:hanging="360"/>
      </w:pPr>
    </w:lvl>
  </w:abstractNum>
  <w:abstractNum w:abstractNumId="6" w15:restartNumberingAfterBreak="0">
    <w:nsid w:val="0BAE33F8"/>
    <w:multiLevelType w:val="multilevel"/>
    <w:tmpl w:val="751C5680"/>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ED7704D"/>
    <w:multiLevelType w:val="hybridMultilevel"/>
    <w:tmpl w:val="AF2846CC"/>
    <w:lvl w:ilvl="0" w:tplc="9B1892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2100"/>
        </w:tabs>
        <w:ind w:left="2100" w:hanging="360"/>
      </w:pPr>
      <w:rPr>
        <w:rFonts w:ascii="Courier New" w:hAnsi="Courier New" w:hint="default"/>
      </w:rPr>
    </w:lvl>
    <w:lvl w:ilvl="2" w:tplc="04090005">
      <w:start w:val="1"/>
      <w:numFmt w:val="bullet"/>
      <w:lvlText w:val=""/>
      <w:lvlJc w:val="left"/>
      <w:pPr>
        <w:tabs>
          <w:tab w:val="num" w:pos="2820"/>
        </w:tabs>
        <w:ind w:left="2820" w:hanging="360"/>
      </w:pPr>
      <w:rPr>
        <w:rFonts w:ascii="Wingdings" w:hAnsi="Wingdings" w:hint="default"/>
      </w:rPr>
    </w:lvl>
    <w:lvl w:ilvl="3" w:tplc="4E687B76">
      <w:numFmt w:val="bullet"/>
      <w:lvlText w:val="–"/>
      <w:lvlJc w:val="left"/>
      <w:pPr>
        <w:tabs>
          <w:tab w:val="num" w:pos="3540"/>
        </w:tabs>
        <w:ind w:left="3540" w:hanging="360"/>
      </w:pPr>
      <w:rPr>
        <w:rFonts w:ascii="Times New Roman" w:eastAsia="Times New Roman" w:hAnsi="Times New Roman" w:cs="Times New Roman" w:hint="default"/>
        <w:i/>
      </w:rPr>
    </w:lvl>
    <w:lvl w:ilvl="4" w:tplc="04090003">
      <w:start w:val="1"/>
      <w:numFmt w:val="bullet"/>
      <w:lvlText w:val="o"/>
      <w:lvlJc w:val="left"/>
      <w:pPr>
        <w:tabs>
          <w:tab w:val="num" w:pos="4260"/>
        </w:tabs>
        <w:ind w:left="4260" w:hanging="360"/>
      </w:pPr>
      <w:rPr>
        <w:rFonts w:ascii="Courier New" w:hAnsi="Courier New" w:hint="default"/>
      </w:rPr>
    </w:lvl>
    <w:lvl w:ilvl="5" w:tplc="04090005">
      <w:start w:val="1"/>
      <w:numFmt w:val="bullet"/>
      <w:lvlText w:val=""/>
      <w:lvlJc w:val="left"/>
      <w:pPr>
        <w:tabs>
          <w:tab w:val="num" w:pos="4980"/>
        </w:tabs>
        <w:ind w:left="4980" w:hanging="360"/>
      </w:pPr>
      <w:rPr>
        <w:rFonts w:ascii="Wingdings" w:hAnsi="Wingdings" w:hint="default"/>
      </w:rPr>
    </w:lvl>
    <w:lvl w:ilvl="6" w:tplc="0409000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8" w15:restartNumberingAfterBreak="0">
    <w:nsid w:val="1A27773D"/>
    <w:multiLevelType w:val="hybridMultilevel"/>
    <w:tmpl w:val="0ECE4AA4"/>
    <w:lvl w:ilvl="0" w:tplc="9B1892B2">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22C33D43"/>
    <w:multiLevelType w:val="hybridMultilevel"/>
    <w:tmpl w:val="9EAEE28A"/>
    <w:lvl w:ilvl="0" w:tplc="FFFFFFFF">
      <w:start w:val="1"/>
      <w:numFmt w:val="decimal"/>
      <w:lvlText w:val="%1."/>
      <w:lvlJc w:val="left"/>
      <w:pPr>
        <w:ind w:left="1421" w:hanging="360"/>
      </w:pPr>
    </w:lvl>
    <w:lvl w:ilvl="1" w:tplc="FFFFFFFF" w:tentative="1">
      <w:start w:val="1"/>
      <w:numFmt w:val="lowerLetter"/>
      <w:lvlText w:val="%2."/>
      <w:lvlJc w:val="left"/>
      <w:pPr>
        <w:ind w:left="2141" w:hanging="360"/>
      </w:pPr>
    </w:lvl>
    <w:lvl w:ilvl="2" w:tplc="FFFFFFFF" w:tentative="1">
      <w:start w:val="1"/>
      <w:numFmt w:val="lowerRoman"/>
      <w:lvlText w:val="%3."/>
      <w:lvlJc w:val="right"/>
      <w:pPr>
        <w:ind w:left="2861" w:hanging="180"/>
      </w:pPr>
    </w:lvl>
    <w:lvl w:ilvl="3" w:tplc="FFFFFFFF" w:tentative="1">
      <w:start w:val="1"/>
      <w:numFmt w:val="decimal"/>
      <w:lvlText w:val="%4."/>
      <w:lvlJc w:val="left"/>
      <w:pPr>
        <w:ind w:left="3581" w:hanging="360"/>
      </w:pPr>
    </w:lvl>
    <w:lvl w:ilvl="4" w:tplc="FFFFFFFF" w:tentative="1">
      <w:start w:val="1"/>
      <w:numFmt w:val="lowerLetter"/>
      <w:lvlText w:val="%5."/>
      <w:lvlJc w:val="left"/>
      <w:pPr>
        <w:ind w:left="4301" w:hanging="360"/>
      </w:pPr>
    </w:lvl>
    <w:lvl w:ilvl="5" w:tplc="FFFFFFFF" w:tentative="1">
      <w:start w:val="1"/>
      <w:numFmt w:val="lowerRoman"/>
      <w:lvlText w:val="%6."/>
      <w:lvlJc w:val="right"/>
      <w:pPr>
        <w:ind w:left="5021" w:hanging="180"/>
      </w:pPr>
    </w:lvl>
    <w:lvl w:ilvl="6" w:tplc="FFFFFFFF" w:tentative="1">
      <w:start w:val="1"/>
      <w:numFmt w:val="decimal"/>
      <w:lvlText w:val="%7."/>
      <w:lvlJc w:val="left"/>
      <w:pPr>
        <w:ind w:left="5741" w:hanging="360"/>
      </w:pPr>
    </w:lvl>
    <w:lvl w:ilvl="7" w:tplc="FFFFFFFF" w:tentative="1">
      <w:start w:val="1"/>
      <w:numFmt w:val="lowerLetter"/>
      <w:lvlText w:val="%8."/>
      <w:lvlJc w:val="left"/>
      <w:pPr>
        <w:ind w:left="6461" w:hanging="360"/>
      </w:pPr>
    </w:lvl>
    <w:lvl w:ilvl="8" w:tplc="FFFFFFFF" w:tentative="1">
      <w:start w:val="1"/>
      <w:numFmt w:val="lowerRoman"/>
      <w:lvlText w:val="%9."/>
      <w:lvlJc w:val="right"/>
      <w:pPr>
        <w:ind w:left="7181" w:hanging="180"/>
      </w:pPr>
    </w:lvl>
  </w:abstractNum>
  <w:abstractNum w:abstractNumId="10" w15:restartNumberingAfterBreak="0">
    <w:nsid w:val="264145B7"/>
    <w:multiLevelType w:val="hybridMultilevel"/>
    <w:tmpl w:val="70F002D0"/>
    <w:lvl w:ilvl="0" w:tplc="18E0D34A">
      <w:start w:val="3"/>
      <w:numFmt w:val="bullet"/>
      <w:lvlText w:val="-"/>
      <w:lvlJc w:val="left"/>
      <w:pPr>
        <w:tabs>
          <w:tab w:val="num" w:pos="1080"/>
        </w:tabs>
        <w:ind w:left="1080" w:hanging="360"/>
      </w:pPr>
      <w:rPr>
        <w:rFonts w:ascii="Arial" w:eastAsia="Times New Roman" w:hAnsi="Arial" w:cs="Arial" w:hint="default"/>
        <w:b/>
      </w:rPr>
    </w:lvl>
    <w:lvl w:ilvl="1" w:tplc="08090003" w:tentative="1">
      <w:start w:val="1"/>
      <w:numFmt w:val="bullet"/>
      <w:lvlText w:val="o"/>
      <w:lvlJc w:val="left"/>
      <w:pPr>
        <w:tabs>
          <w:tab w:val="num" w:pos="2100"/>
        </w:tabs>
        <w:ind w:left="2100" w:hanging="360"/>
      </w:pPr>
      <w:rPr>
        <w:rFonts w:ascii="Courier New" w:hAnsi="Courier New" w:cs="Courier New" w:hint="default"/>
      </w:rPr>
    </w:lvl>
    <w:lvl w:ilvl="2" w:tplc="08090005" w:tentative="1">
      <w:start w:val="1"/>
      <w:numFmt w:val="bullet"/>
      <w:lvlText w:val=""/>
      <w:lvlJc w:val="left"/>
      <w:pPr>
        <w:tabs>
          <w:tab w:val="num" w:pos="2820"/>
        </w:tabs>
        <w:ind w:left="2820" w:hanging="360"/>
      </w:pPr>
      <w:rPr>
        <w:rFonts w:ascii="Wingdings" w:hAnsi="Wingdings" w:hint="default"/>
      </w:rPr>
    </w:lvl>
    <w:lvl w:ilvl="3" w:tplc="08090001" w:tentative="1">
      <w:start w:val="1"/>
      <w:numFmt w:val="bullet"/>
      <w:lvlText w:val=""/>
      <w:lvlJc w:val="left"/>
      <w:pPr>
        <w:tabs>
          <w:tab w:val="num" w:pos="3540"/>
        </w:tabs>
        <w:ind w:left="3540" w:hanging="360"/>
      </w:pPr>
      <w:rPr>
        <w:rFonts w:ascii="Symbol" w:hAnsi="Symbol" w:hint="default"/>
      </w:rPr>
    </w:lvl>
    <w:lvl w:ilvl="4" w:tplc="08090003" w:tentative="1">
      <w:start w:val="1"/>
      <w:numFmt w:val="bullet"/>
      <w:lvlText w:val="o"/>
      <w:lvlJc w:val="left"/>
      <w:pPr>
        <w:tabs>
          <w:tab w:val="num" w:pos="4260"/>
        </w:tabs>
        <w:ind w:left="4260" w:hanging="360"/>
      </w:pPr>
      <w:rPr>
        <w:rFonts w:ascii="Courier New" w:hAnsi="Courier New" w:cs="Courier New" w:hint="default"/>
      </w:rPr>
    </w:lvl>
    <w:lvl w:ilvl="5" w:tplc="08090005" w:tentative="1">
      <w:start w:val="1"/>
      <w:numFmt w:val="bullet"/>
      <w:lvlText w:val=""/>
      <w:lvlJc w:val="left"/>
      <w:pPr>
        <w:tabs>
          <w:tab w:val="num" w:pos="4980"/>
        </w:tabs>
        <w:ind w:left="4980" w:hanging="360"/>
      </w:pPr>
      <w:rPr>
        <w:rFonts w:ascii="Wingdings" w:hAnsi="Wingdings" w:hint="default"/>
      </w:rPr>
    </w:lvl>
    <w:lvl w:ilvl="6" w:tplc="08090001" w:tentative="1">
      <w:start w:val="1"/>
      <w:numFmt w:val="bullet"/>
      <w:lvlText w:val=""/>
      <w:lvlJc w:val="left"/>
      <w:pPr>
        <w:tabs>
          <w:tab w:val="num" w:pos="5700"/>
        </w:tabs>
        <w:ind w:left="5700" w:hanging="360"/>
      </w:pPr>
      <w:rPr>
        <w:rFonts w:ascii="Symbol" w:hAnsi="Symbol" w:hint="default"/>
      </w:rPr>
    </w:lvl>
    <w:lvl w:ilvl="7" w:tplc="08090003" w:tentative="1">
      <w:start w:val="1"/>
      <w:numFmt w:val="bullet"/>
      <w:lvlText w:val="o"/>
      <w:lvlJc w:val="left"/>
      <w:pPr>
        <w:tabs>
          <w:tab w:val="num" w:pos="6420"/>
        </w:tabs>
        <w:ind w:left="6420" w:hanging="360"/>
      </w:pPr>
      <w:rPr>
        <w:rFonts w:ascii="Courier New" w:hAnsi="Courier New" w:cs="Courier New" w:hint="default"/>
      </w:rPr>
    </w:lvl>
    <w:lvl w:ilvl="8" w:tplc="08090005" w:tentative="1">
      <w:start w:val="1"/>
      <w:numFmt w:val="bullet"/>
      <w:lvlText w:val=""/>
      <w:lvlJc w:val="left"/>
      <w:pPr>
        <w:tabs>
          <w:tab w:val="num" w:pos="7140"/>
        </w:tabs>
        <w:ind w:left="7140" w:hanging="360"/>
      </w:pPr>
      <w:rPr>
        <w:rFonts w:ascii="Wingdings" w:hAnsi="Wingdings" w:hint="default"/>
      </w:rPr>
    </w:lvl>
  </w:abstractNum>
  <w:abstractNum w:abstractNumId="11" w15:restartNumberingAfterBreak="0">
    <w:nsid w:val="2A960713"/>
    <w:multiLevelType w:val="multilevel"/>
    <w:tmpl w:val="9DDEE25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8106B16"/>
    <w:multiLevelType w:val="hybridMultilevel"/>
    <w:tmpl w:val="E26617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08F6D05"/>
    <w:multiLevelType w:val="hybridMultilevel"/>
    <w:tmpl w:val="490E05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4A704B"/>
    <w:multiLevelType w:val="hybridMultilevel"/>
    <w:tmpl w:val="DE12EE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A0A1E70"/>
    <w:multiLevelType w:val="hybridMultilevel"/>
    <w:tmpl w:val="D2AA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0B3F9C"/>
    <w:multiLevelType w:val="hybridMultilevel"/>
    <w:tmpl w:val="F7A2B9DE"/>
    <w:lvl w:ilvl="0" w:tplc="E788019E">
      <w:start w:val="1"/>
      <w:numFmt w:val="upperLetter"/>
      <w:lvlText w:val="%1)"/>
      <w:lvlJc w:val="left"/>
      <w:pPr>
        <w:tabs>
          <w:tab w:val="num" w:pos="720"/>
        </w:tabs>
        <w:ind w:left="720" w:hanging="360"/>
      </w:pPr>
    </w:lvl>
    <w:lvl w:ilvl="1" w:tplc="4BC4242E" w:tentative="1">
      <w:start w:val="1"/>
      <w:numFmt w:val="upperLetter"/>
      <w:lvlText w:val="%2)"/>
      <w:lvlJc w:val="left"/>
      <w:pPr>
        <w:tabs>
          <w:tab w:val="num" w:pos="1440"/>
        </w:tabs>
        <w:ind w:left="1440" w:hanging="360"/>
      </w:pPr>
    </w:lvl>
    <w:lvl w:ilvl="2" w:tplc="4FDC0490" w:tentative="1">
      <w:start w:val="1"/>
      <w:numFmt w:val="upperLetter"/>
      <w:lvlText w:val="%3)"/>
      <w:lvlJc w:val="left"/>
      <w:pPr>
        <w:tabs>
          <w:tab w:val="num" w:pos="2160"/>
        </w:tabs>
        <w:ind w:left="2160" w:hanging="360"/>
      </w:pPr>
    </w:lvl>
    <w:lvl w:ilvl="3" w:tplc="5E4C21F0" w:tentative="1">
      <w:start w:val="1"/>
      <w:numFmt w:val="upperLetter"/>
      <w:lvlText w:val="%4)"/>
      <w:lvlJc w:val="left"/>
      <w:pPr>
        <w:tabs>
          <w:tab w:val="num" w:pos="2880"/>
        </w:tabs>
        <w:ind w:left="2880" w:hanging="360"/>
      </w:pPr>
    </w:lvl>
    <w:lvl w:ilvl="4" w:tplc="4B2EB6BA" w:tentative="1">
      <w:start w:val="1"/>
      <w:numFmt w:val="upperLetter"/>
      <w:lvlText w:val="%5)"/>
      <w:lvlJc w:val="left"/>
      <w:pPr>
        <w:tabs>
          <w:tab w:val="num" w:pos="3600"/>
        </w:tabs>
        <w:ind w:left="3600" w:hanging="360"/>
      </w:pPr>
    </w:lvl>
    <w:lvl w:ilvl="5" w:tplc="6EBC853A" w:tentative="1">
      <w:start w:val="1"/>
      <w:numFmt w:val="upperLetter"/>
      <w:lvlText w:val="%6)"/>
      <w:lvlJc w:val="left"/>
      <w:pPr>
        <w:tabs>
          <w:tab w:val="num" w:pos="4320"/>
        </w:tabs>
        <w:ind w:left="4320" w:hanging="360"/>
      </w:pPr>
    </w:lvl>
    <w:lvl w:ilvl="6" w:tplc="8632D326" w:tentative="1">
      <w:start w:val="1"/>
      <w:numFmt w:val="upperLetter"/>
      <w:lvlText w:val="%7)"/>
      <w:lvlJc w:val="left"/>
      <w:pPr>
        <w:tabs>
          <w:tab w:val="num" w:pos="5040"/>
        </w:tabs>
        <w:ind w:left="5040" w:hanging="360"/>
      </w:pPr>
    </w:lvl>
    <w:lvl w:ilvl="7" w:tplc="E0162F38" w:tentative="1">
      <w:start w:val="1"/>
      <w:numFmt w:val="upperLetter"/>
      <w:lvlText w:val="%8)"/>
      <w:lvlJc w:val="left"/>
      <w:pPr>
        <w:tabs>
          <w:tab w:val="num" w:pos="5760"/>
        </w:tabs>
        <w:ind w:left="5760" w:hanging="360"/>
      </w:pPr>
    </w:lvl>
    <w:lvl w:ilvl="8" w:tplc="C5443EDC" w:tentative="1">
      <w:start w:val="1"/>
      <w:numFmt w:val="upperLetter"/>
      <w:lvlText w:val="%9)"/>
      <w:lvlJc w:val="left"/>
      <w:pPr>
        <w:tabs>
          <w:tab w:val="num" w:pos="6480"/>
        </w:tabs>
        <w:ind w:left="6480" w:hanging="360"/>
      </w:pPr>
    </w:lvl>
  </w:abstractNum>
  <w:abstractNum w:abstractNumId="17" w15:restartNumberingAfterBreak="0">
    <w:nsid w:val="4E5B32A2"/>
    <w:multiLevelType w:val="hybridMultilevel"/>
    <w:tmpl w:val="4D0E93F2"/>
    <w:lvl w:ilvl="0" w:tplc="18E0D34A">
      <w:start w:val="3"/>
      <w:numFmt w:val="bullet"/>
      <w:lvlText w:val="-"/>
      <w:lvlJc w:val="left"/>
      <w:pPr>
        <w:tabs>
          <w:tab w:val="num" w:pos="1080"/>
        </w:tabs>
        <w:ind w:left="1080" w:hanging="360"/>
      </w:pPr>
      <w:rPr>
        <w:rFonts w:ascii="Arial" w:eastAsia="Times New Roman" w:hAnsi="Arial" w:cs="Arial" w:hint="default"/>
        <w:b/>
      </w:rPr>
    </w:lvl>
    <w:lvl w:ilvl="1" w:tplc="08090003" w:tentative="1">
      <w:start w:val="1"/>
      <w:numFmt w:val="bullet"/>
      <w:lvlText w:val="o"/>
      <w:lvlJc w:val="left"/>
      <w:pPr>
        <w:tabs>
          <w:tab w:val="num" w:pos="2100"/>
        </w:tabs>
        <w:ind w:left="2100" w:hanging="360"/>
      </w:pPr>
      <w:rPr>
        <w:rFonts w:ascii="Courier New" w:hAnsi="Courier New" w:cs="Courier New" w:hint="default"/>
      </w:rPr>
    </w:lvl>
    <w:lvl w:ilvl="2" w:tplc="08090005" w:tentative="1">
      <w:start w:val="1"/>
      <w:numFmt w:val="bullet"/>
      <w:lvlText w:val=""/>
      <w:lvlJc w:val="left"/>
      <w:pPr>
        <w:tabs>
          <w:tab w:val="num" w:pos="2820"/>
        </w:tabs>
        <w:ind w:left="2820" w:hanging="360"/>
      </w:pPr>
      <w:rPr>
        <w:rFonts w:ascii="Wingdings" w:hAnsi="Wingdings" w:hint="default"/>
      </w:rPr>
    </w:lvl>
    <w:lvl w:ilvl="3" w:tplc="08090001" w:tentative="1">
      <w:start w:val="1"/>
      <w:numFmt w:val="bullet"/>
      <w:lvlText w:val=""/>
      <w:lvlJc w:val="left"/>
      <w:pPr>
        <w:tabs>
          <w:tab w:val="num" w:pos="3540"/>
        </w:tabs>
        <w:ind w:left="3540" w:hanging="360"/>
      </w:pPr>
      <w:rPr>
        <w:rFonts w:ascii="Symbol" w:hAnsi="Symbol" w:hint="default"/>
      </w:rPr>
    </w:lvl>
    <w:lvl w:ilvl="4" w:tplc="08090003" w:tentative="1">
      <w:start w:val="1"/>
      <w:numFmt w:val="bullet"/>
      <w:lvlText w:val="o"/>
      <w:lvlJc w:val="left"/>
      <w:pPr>
        <w:tabs>
          <w:tab w:val="num" w:pos="4260"/>
        </w:tabs>
        <w:ind w:left="4260" w:hanging="360"/>
      </w:pPr>
      <w:rPr>
        <w:rFonts w:ascii="Courier New" w:hAnsi="Courier New" w:cs="Courier New" w:hint="default"/>
      </w:rPr>
    </w:lvl>
    <w:lvl w:ilvl="5" w:tplc="08090005" w:tentative="1">
      <w:start w:val="1"/>
      <w:numFmt w:val="bullet"/>
      <w:lvlText w:val=""/>
      <w:lvlJc w:val="left"/>
      <w:pPr>
        <w:tabs>
          <w:tab w:val="num" w:pos="4980"/>
        </w:tabs>
        <w:ind w:left="4980" w:hanging="360"/>
      </w:pPr>
      <w:rPr>
        <w:rFonts w:ascii="Wingdings" w:hAnsi="Wingdings" w:hint="default"/>
      </w:rPr>
    </w:lvl>
    <w:lvl w:ilvl="6" w:tplc="08090001" w:tentative="1">
      <w:start w:val="1"/>
      <w:numFmt w:val="bullet"/>
      <w:lvlText w:val=""/>
      <w:lvlJc w:val="left"/>
      <w:pPr>
        <w:tabs>
          <w:tab w:val="num" w:pos="5700"/>
        </w:tabs>
        <w:ind w:left="5700" w:hanging="360"/>
      </w:pPr>
      <w:rPr>
        <w:rFonts w:ascii="Symbol" w:hAnsi="Symbol" w:hint="default"/>
      </w:rPr>
    </w:lvl>
    <w:lvl w:ilvl="7" w:tplc="08090003" w:tentative="1">
      <w:start w:val="1"/>
      <w:numFmt w:val="bullet"/>
      <w:lvlText w:val="o"/>
      <w:lvlJc w:val="left"/>
      <w:pPr>
        <w:tabs>
          <w:tab w:val="num" w:pos="6420"/>
        </w:tabs>
        <w:ind w:left="6420" w:hanging="360"/>
      </w:pPr>
      <w:rPr>
        <w:rFonts w:ascii="Courier New" w:hAnsi="Courier New" w:cs="Courier New" w:hint="default"/>
      </w:rPr>
    </w:lvl>
    <w:lvl w:ilvl="8" w:tplc="08090005" w:tentative="1">
      <w:start w:val="1"/>
      <w:numFmt w:val="bullet"/>
      <w:lvlText w:val=""/>
      <w:lvlJc w:val="left"/>
      <w:pPr>
        <w:tabs>
          <w:tab w:val="num" w:pos="7140"/>
        </w:tabs>
        <w:ind w:left="7140" w:hanging="360"/>
      </w:pPr>
      <w:rPr>
        <w:rFonts w:ascii="Wingdings" w:hAnsi="Wingdings" w:hint="default"/>
      </w:rPr>
    </w:lvl>
  </w:abstractNum>
  <w:abstractNum w:abstractNumId="18" w15:restartNumberingAfterBreak="0">
    <w:nsid w:val="51822BFB"/>
    <w:multiLevelType w:val="hybridMultilevel"/>
    <w:tmpl w:val="00A2C17A"/>
    <w:lvl w:ilvl="0" w:tplc="08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36E658B"/>
    <w:multiLevelType w:val="hybridMultilevel"/>
    <w:tmpl w:val="50E85A88"/>
    <w:lvl w:ilvl="0" w:tplc="18E0D34A">
      <w:start w:val="3"/>
      <w:numFmt w:val="bullet"/>
      <w:lvlText w:val="-"/>
      <w:lvlJc w:val="left"/>
      <w:pPr>
        <w:tabs>
          <w:tab w:val="num" w:pos="780"/>
        </w:tabs>
        <w:ind w:left="780" w:hanging="360"/>
      </w:pPr>
      <w:rPr>
        <w:rFonts w:ascii="Arial" w:eastAsia="Times New Roman" w:hAnsi="Arial" w:cs="Arial" w:hint="default"/>
        <w:b/>
      </w:rPr>
    </w:lvl>
    <w:lvl w:ilvl="1" w:tplc="04090005">
      <w:start w:val="1"/>
      <w:numFmt w:val="bullet"/>
      <w:lvlText w:val=""/>
      <w:lvlJc w:val="left"/>
      <w:pPr>
        <w:tabs>
          <w:tab w:val="num" w:pos="1500"/>
        </w:tabs>
        <w:ind w:left="1500" w:hanging="360"/>
      </w:pPr>
      <w:rPr>
        <w:rFonts w:ascii="Wingdings" w:hAnsi="Wingdings"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5A42D96"/>
    <w:multiLevelType w:val="hybridMultilevel"/>
    <w:tmpl w:val="7E3EB1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6BA627F"/>
    <w:multiLevelType w:val="hybridMultilevel"/>
    <w:tmpl w:val="DEBEDF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6FE2806"/>
    <w:multiLevelType w:val="hybridMultilevel"/>
    <w:tmpl w:val="3E5A5FE8"/>
    <w:lvl w:ilvl="0" w:tplc="9B1892B2">
      <w:start w:val="2016"/>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57D67221"/>
    <w:multiLevelType w:val="hybridMultilevel"/>
    <w:tmpl w:val="0ECE4AA4"/>
    <w:lvl w:ilvl="0" w:tplc="0409000F">
      <w:start w:val="1"/>
      <w:numFmt w:val="decimal"/>
      <w:lvlText w:val="%1."/>
      <w:lvlJc w:val="left"/>
      <w:pPr>
        <w:tabs>
          <w:tab w:val="num" w:pos="420"/>
        </w:tabs>
        <w:ind w:left="420" w:hanging="360"/>
      </w:pPr>
    </w:lvl>
    <w:lvl w:ilvl="1" w:tplc="04090003">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4" w15:restartNumberingAfterBreak="0">
    <w:nsid w:val="5B8F4667"/>
    <w:multiLevelType w:val="hybridMultilevel"/>
    <w:tmpl w:val="32207C20"/>
    <w:lvl w:ilvl="0" w:tplc="373411F2">
      <w:numFmt w:val="bullet"/>
      <w:lvlText w:val="–"/>
      <w:lvlJc w:val="left"/>
      <w:pPr>
        <w:tabs>
          <w:tab w:val="num" w:pos="-980"/>
        </w:tabs>
        <w:ind w:left="-980" w:hanging="360"/>
      </w:pPr>
      <w:rPr>
        <w:rFonts w:ascii="Times New Roman" w:eastAsia="Times New Roman" w:hAnsi="Times New Roman" w:cs="Times New Roman" w:hint="default"/>
      </w:rPr>
    </w:lvl>
    <w:lvl w:ilvl="1" w:tplc="04090003" w:tentative="1">
      <w:start w:val="1"/>
      <w:numFmt w:val="bullet"/>
      <w:lvlText w:val="o"/>
      <w:lvlJc w:val="left"/>
      <w:pPr>
        <w:tabs>
          <w:tab w:val="num" w:pos="-260"/>
        </w:tabs>
        <w:ind w:left="-260" w:hanging="360"/>
      </w:pPr>
      <w:rPr>
        <w:rFonts w:ascii="Courier New" w:hAnsi="Courier New" w:hint="default"/>
      </w:rPr>
    </w:lvl>
    <w:lvl w:ilvl="2" w:tplc="04090005" w:tentative="1">
      <w:start w:val="1"/>
      <w:numFmt w:val="bullet"/>
      <w:lvlText w:val=""/>
      <w:lvlJc w:val="left"/>
      <w:pPr>
        <w:tabs>
          <w:tab w:val="num" w:pos="460"/>
        </w:tabs>
        <w:ind w:left="460" w:hanging="360"/>
      </w:pPr>
      <w:rPr>
        <w:rFonts w:ascii="Wingdings" w:hAnsi="Wingdings" w:hint="default"/>
      </w:rPr>
    </w:lvl>
    <w:lvl w:ilvl="3" w:tplc="04090001" w:tentative="1">
      <w:start w:val="1"/>
      <w:numFmt w:val="bullet"/>
      <w:lvlText w:val=""/>
      <w:lvlJc w:val="left"/>
      <w:pPr>
        <w:tabs>
          <w:tab w:val="num" w:pos="1180"/>
        </w:tabs>
        <w:ind w:left="1180" w:hanging="360"/>
      </w:pPr>
      <w:rPr>
        <w:rFonts w:ascii="Symbol" w:hAnsi="Symbol" w:hint="default"/>
      </w:rPr>
    </w:lvl>
    <w:lvl w:ilvl="4" w:tplc="04090003" w:tentative="1">
      <w:start w:val="1"/>
      <w:numFmt w:val="bullet"/>
      <w:lvlText w:val="o"/>
      <w:lvlJc w:val="left"/>
      <w:pPr>
        <w:tabs>
          <w:tab w:val="num" w:pos="1900"/>
        </w:tabs>
        <w:ind w:left="1900" w:hanging="360"/>
      </w:pPr>
      <w:rPr>
        <w:rFonts w:ascii="Courier New" w:hAnsi="Courier New" w:hint="default"/>
      </w:rPr>
    </w:lvl>
    <w:lvl w:ilvl="5" w:tplc="04090005" w:tentative="1">
      <w:start w:val="1"/>
      <w:numFmt w:val="bullet"/>
      <w:lvlText w:val=""/>
      <w:lvlJc w:val="left"/>
      <w:pPr>
        <w:tabs>
          <w:tab w:val="num" w:pos="2620"/>
        </w:tabs>
        <w:ind w:left="2620" w:hanging="360"/>
      </w:pPr>
      <w:rPr>
        <w:rFonts w:ascii="Wingdings" w:hAnsi="Wingdings" w:hint="default"/>
      </w:rPr>
    </w:lvl>
    <w:lvl w:ilvl="6" w:tplc="04090001" w:tentative="1">
      <w:start w:val="1"/>
      <w:numFmt w:val="bullet"/>
      <w:lvlText w:val=""/>
      <w:lvlJc w:val="left"/>
      <w:pPr>
        <w:tabs>
          <w:tab w:val="num" w:pos="3340"/>
        </w:tabs>
        <w:ind w:left="3340" w:hanging="360"/>
      </w:pPr>
      <w:rPr>
        <w:rFonts w:ascii="Symbol" w:hAnsi="Symbol" w:hint="default"/>
      </w:rPr>
    </w:lvl>
    <w:lvl w:ilvl="7" w:tplc="04090003" w:tentative="1">
      <w:start w:val="1"/>
      <w:numFmt w:val="bullet"/>
      <w:lvlText w:val="o"/>
      <w:lvlJc w:val="left"/>
      <w:pPr>
        <w:tabs>
          <w:tab w:val="num" w:pos="4060"/>
        </w:tabs>
        <w:ind w:left="4060" w:hanging="360"/>
      </w:pPr>
      <w:rPr>
        <w:rFonts w:ascii="Courier New" w:hAnsi="Courier New" w:hint="default"/>
      </w:rPr>
    </w:lvl>
    <w:lvl w:ilvl="8" w:tplc="04090005" w:tentative="1">
      <w:start w:val="1"/>
      <w:numFmt w:val="bullet"/>
      <w:lvlText w:val=""/>
      <w:lvlJc w:val="left"/>
      <w:pPr>
        <w:tabs>
          <w:tab w:val="num" w:pos="4780"/>
        </w:tabs>
        <w:ind w:left="4780" w:hanging="360"/>
      </w:pPr>
      <w:rPr>
        <w:rFonts w:ascii="Wingdings" w:hAnsi="Wingdings" w:hint="default"/>
      </w:rPr>
    </w:lvl>
  </w:abstractNum>
  <w:abstractNum w:abstractNumId="25" w15:restartNumberingAfterBreak="0">
    <w:nsid w:val="5C0F7D55"/>
    <w:multiLevelType w:val="hybridMultilevel"/>
    <w:tmpl w:val="F1BEA9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9E305B"/>
    <w:multiLevelType w:val="hybridMultilevel"/>
    <w:tmpl w:val="9EAEE28A"/>
    <w:lvl w:ilvl="0" w:tplc="0809000F">
      <w:start w:val="1"/>
      <w:numFmt w:val="decimal"/>
      <w:lvlText w:val="%1."/>
      <w:lvlJc w:val="left"/>
      <w:pPr>
        <w:ind w:left="1421" w:hanging="360"/>
      </w:pPr>
    </w:lvl>
    <w:lvl w:ilvl="1" w:tplc="08090019" w:tentative="1">
      <w:start w:val="1"/>
      <w:numFmt w:val="lowerLetter"/>
      <w:lvlText w:val="%2."/>
      <w:lvlJc w:val="left"/>
      <w:pPr>
        <w:ind w:left="2141" w:hanging="360"/>
      </w:pPr>
    </w:lvl>
    <w:lvl w:ilvl="2" w:tplc="0809001B" w:tentative="1">
      <w:start w:val="1"/>
      <w:numFmt w:val="lowerRoman"/>
      <w:lvlText w:val="%3."/>
      <w:lvlJc w:val="right"/>
      <w:pPr>
        <w:ind w:left="2861" w:hanging="180"/>
      </w:pPr>
    </w:lvl>
    <w:lvl w:ilvl="3" w:tplc="0809000F" w:tentative="1">
      <w:start w:val="1"/>
      <w:numFmt w:val="decimal"/>
      <w:lvlText w:val="%4."/>
      <w:lvlJc w:val="left"/>
      <w:pPr>
        <w:ind w:left="3581" w:hanging="360"/>
      </w:pPr>
    </w:lvl>
    <w:lvl w:ilvl="4" w:tplc="08090019" w:tentative="1">
      <w:start w:val="1"/>
      <w:numFmt w:val="lowerLetter"/>
      <w:lvlText w:val="%5."/>
      <w:lvlJc w:val="left"/>
      <w:pPr>
        <w:ind w:left="4301" w:hanging="360"/>
      </w:pPr>
    </w:lvl>
    <w:lvl w:ilvl="5" w:tplc="0809001B" w:tentative="1">
      <w:start w:val="1"/>
      <w:numFmt w:val="lowerRoman"/>
      <w:lvlText w:val="%6."/>
      <w:lvlJc w:val="right"/>
      <w:pPr>
        <w:ind w:left="5021" w:hanging="180"/>
      </w:pPr>
    </w:lvl>
    <w:lvl w:ilvl="6" w:tplc="0809000F" w:tentative="1">
      <w:start w:val="1"/>
      <w:numFmt w:val="decimal"/>
      <w:lvlText w:val="%7."/>
      <w:lvlJc w:val="left"/>
      <w:pPr>
        <w:ind w:left="5741" w:hanging="360"/>
      </w:pPr>
    </w:lvl>
    <w:lvl w:ilvl="7" w:tplc="08090019" w:tentative="1">
      <w:start w:val="1"/>
      <w:numFmt w:val="lowerLetter"/>
      <w:lvlText w:val="%8."/>
      <w:lvlJc w:val="left"/>
      <w:pPr>
        <w:ind w:left="6461" w:hanging="360"/>
      </w:pPr>
    </w:lvl>
    <w:lvl w:ilvl="8" w:tplc="0809001B" w:tentative="1">
      <w:start w:val="1"/>
      <w:numFmt w:val="lowerRoman"/>
      <w:lvlText w:val="%9."/>
      <w:lvlJc w:val="right"/>
      <w:pPr>
        <w:ind w:left="7181" w:hanging="180"/>
      </w:pPr>
    </w:lvl>
  </w:abstractNum>
  <w:abstractNum w:abstractNumId="27" w15:restartNumberingAfterBreak="0">
    <w:nsid w:val="63F279D4"/>
    <w:multiLevelType w:val="hybridMultilevel"/>
    <w:tmpl w:val="52B69652"/>
    <w:lvl w:ilvl="0" w:tplc="78328590">
      <w:start w:val="1"/>
      <w:numFmt w:val="lowerRoman"/>
      <w:lvlText w:val="(%1)"/>
      <w:lvlJc w:val="left"/>
      <w:pPr>
        <w:ind w:left="720" w:hanging="72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42818AE"/>
    <w:multiLevelType w:val="multilevel"/>
    <w:tmpl w:val="94761202"/>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296"/>
        </w:tabs>
        <w:ind w:left="129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29" w15:restartNumberingAfterBreak="0">
    <w:nsid w:val="64695AB5"/>
    <w:multiLevelType w:val="hybridMultilevel"/>
    <w:tmpl w:val="2AF08C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D06491B"/>
    <w:multiLevelType w:val="multilevel"/>
    <w:tmpl w:val="FB105B0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1B2742"/>
    <w:multiLevelType w:val="hybridMultilevel"/>
    <w:tmpl w:val="9A647BC6"/>
    <w:lvl w:ilvl="0" w:tplc="6E6E1134">
      <w:start w:val="1"/>
      <w:numFmt w:val="decimal"/>
      <w:lvlText w:val="%1."/>
      <w:lvlJc w:val="left"/>
      <w:pPr>
        <w:tabs>
          <w:tab w:val="num" w:pos="996"/>
        </w:tabs>
        <w:ind w:left="996" w:hanging="420"/>
      </w:pPr>
      <w:rPr>
        <w:rFonts w:hint="default"/>
      </w:rPr>
    </w:lvl>
    <w:lvl w:ilvl="1" w:tplc="04090019" w:tentative="1">
      <w:start w:val="1"/>
      <w:numFmt w:val="lowerLetter"/>
      <w:lvlText w:val="%2."/>
      <w:lvlJc w:val="left"/>
      <w:pPr>
        <w:tabs>
          <w:tab w:val="num" w:pos="2016"/>
        </w:tabs>
        <w:ind w:left="2016" w:hanging="360"/>
      </w:p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32" w15:restartNumberingAfterBreak="0">
    <w:nsid w:val="72D109DB"/>
    <w:multiLevelType w:val="hybridMultilevel"/>
    <w:tmpl w:val="B20AA2F4"/>
    <w:lvl w:ilvl="0" w:tplc="18E0D34A">
      <w:start w:val="3"/>
      <w:numFmt w:val="bullet"/>
      <w:lvlText w:val="-"/>
      <w:lvlJc w:val="left"/>
      <w:pPr>
        <w:tabs>
          <w:tab w:val="num" w:pos="780"/>
        </w:tabs>
        <w:ind w:left="78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7D7C11"/>
    <w:multiLevelType w:val="hybridMultilevel"/>
    <w:tmpl w:val="B3BCD8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D9026F"/>
    <w:multiLevelType w:val="hybridMultilevel"/>
    <w:tmpl w:val="FC329E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D987914"/>
    <w:multiLevelType w:val="hybridMultilevel"/>
    <w:tmpl w:val="84CE3836"/>
    <w:lvl w:ilvl="0" w:tplc="E30CEAE8">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E6242B"/>
    <w:multiLevelType w:val="hybridMultilevel"/>
    <w:tmpl w:val="8F902CAA"/>
    <w:lvl w:ilvl="0" w:tplc="BAD2B1C4">
      <w:start w:val="1"/>
      <w:numFmt w:val="bullet"/>
      <w:lvlText w:val="•"/>
      <w:lvlJc w:val="left"/>
      <w:pPr>
        <w:tabs>
          <w:tab w:val="num" w:pos="720"/>
        </w:tabs>
        <w:ind w:left="720" w:hanging="360"/>
      </w:pPr>
      <w:rPr>
        <w:rFonts w:ascii="Arial" w:hAnsi="Arial" w:hint="default"/>
      </w:rPr>
    </w:lvl>
    <w:lvl w:ilvl="1" w:tplc="449A41C0" w:tentative="1">
      <w:start w:val="1"/>
      <w:numFmt w:val="bullet"/>
      <w:lvlText w:val="•"/>
      <w:lvlJc w:val="left"/>
      <w:pPr>
        <w:tabs>
          <w:tab w:val="num" w:pos="1440"/>
        </w:tabs>
        <w:ind w:left="1440" w:hanging="360"/>
      </w:pPr>
      <w:rPr>
        <w:rFonts w:ascii="Arial" w:hAnsi="Arial" w:hint="default"/>
      </w:rPr>
    </w:lvl>
    <w:lvl w:ilvl="2" w:tplc="DB561CB4" w:tentative="1">
      <w:start w:val="1"/>
      <w:numFmt w:val="bullet"/>
      <w:lvlText w:val="•"/>
      <w:lvlJc w:val="left"/>
      <w:pPr>
        <w:tabs>
          <w:tab w:val="num" w:pos="2160"/>
        </w:tabs>
        <w:ind w:left="2160" w:hanging="360"/>
      </w:pPr>
      <w:rPr>
        <w:rFonts w:ascii="Arial" w:hAnsi="Arial" w:hint="default"/>
      </w:rPr>
    </w:lvl>
    <w:lvl w:ilvl="3" w:tplc="96F48BD2" w:tentative="1">
      <w:start w:val="1"/>
      <w:numFmt w:val="bullet"/>
      <w:lvlText w:val="•"/>
      <w:lvlJc w:val="left"/>
      <w:pPr>
        <w:tabs>
          <w:tab w:val="num" w:pos="2880"/>
        </w:tabs>
        <w:ind w:left="2880" w:hanging="360"/>
      </w:pPr>
      <w:rPr>
        <w:rFonts w:ascii="Arial" w:hAnsi="Arial" w:hint="default"/>
      </w:rPr>
    </w:lvl>
    <w:lvl w:ilvl="4" w:tplc="774E6BD4" w:tentative="1">
      <w:start w:val="1"/>
      <w:numFmt w:val="bullet"/>
      <w:lvlText w:val="•"/>
      <w:lvlJc w:val="left"/>
      <w:pPr>
        <w:tabs>
          <w:tab w:val="num" w:pos="3600"/>
        </w:tabs>
        <w:ind w:left="3600" w:hanging="360"/>
      </w:pPr>
      <w:rPr>
        <w:rFonts w:ascii="Arial" w:hAnsi="Arial" w:hint="default"/>
      </w:rPr>
    </w:lvl>
    <w:lvl w:ilvl="5" w:tplc="0422F1A6" w:tentative="1">
      <w:start w:val="1"/>
      <w:numFmt w:val="bullet"/>
      <w:lvlText w:val="•"/>
      <w:lvlJc w:val="left"/>
      <w:pPr>
        <w:tabs>
          <w:tab w:val="num" w:pos="4320"/>
        </w:tabs>
        <w:ind w:left="4320" w:hanging="360"/>
      </w:pPr>
      <w:rPr>
        <w:rFonts w:ascii="Arial" w:hAnsi="Arial" w:hint="default"/>
      </w:rPr>
    </w:lvl>
    <w:lvl w:ilvl="6" w:tplc="FB7EBB5E" w:tentative="1">
      <w:start w:val="1"/>
      <w:numFmt w:val="bullet"/>
      <w:lvlText w:val="•"/>
      <w:lvlJc w:val="left"/>
      <w:pPr>
        <w:tabs>
          <w:tab w:val="num" w:pos="5040"/>
        </w:tabs>
        <w:ind w:left="5040" w:hanging="360"/>
      </w:pPr>
      <w:rPr>
        <w:rFonts w:ascii="Arial" w:hAnsi="Arial" w:hint="default"/>
      </w:rPr>
    </w:lvl>
    <w:lvl w:ilvl="7" w:tplc="99FCE814" w:tentative="1">
      <w:start w:val="1"/>
      <w:numFmt w:val="bullet"/>
      <w:lvlText w:val="•"/>
      <w:lvlJc w:val="left"/>
      <w:pPr>
        <w:tabs>
          <w:tab w:val="num" w:pos="5760"/>
        </w:tabs>
        <w:ind w:left="5760" w:hanging="360"/>
      </w:pPr>
      <w:rPr>
        <w:rFonts w:ascii="Arial" w:hAnsi="Arial" w:hint="default"/>
      </w:rPr>
    </w:lvl>
    <w:lvl w:ilvl="8" w:tplc="FE62949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F1D50AA"/>
    <w:multiLevelType w:val="multilevel"/>
    <w:tmpl w:val="E6CA74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3A3B69"/>
    <w:multiLevelType w:val="multilevel"/>
    <w:tmpl w:val="9476120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2034727593">
    <w:abstractNumId w:val="8"/>
  </w:num>
  <w:num w:numId="2" w16cid:durableId="1819031742">
    <w:abstractNumId w:val="19"/>
  </w:num>
  <w:num w:numId="3" w16cid:durableId="204801161">
    <w:abstractNumId w:val="10"/>
  </w:num>
  <w:num w:numId="4" w16cid:durableId="418411869">
    <w:abstractNumId w:val="17"/>
  </w:num>
  <w:num w:numId="5" w16cid:durableId="1281718822">
    <w:abstractNumId w:val="35"/>
  </w:num>
  <w:num w:numId="6" w16cid:durableId="1727798515">
    <w:abstractNumId w:val="14"/>
  </w:num>
  <w:num w:numId="7" w16cid:durableId="1026371789">
    <w:abstractNumId w:val="23"/>
  </w:num>
  <w:num w:numId="8" w16cid:durableId="1587348320">
    <w:abstractNumId w:val="12"/>
  </w:num>
  <w:num w:numId="9" w16cid:durableId="378669245">
    <w:abstractNumId w:val="13"/>
  </w:num>
  <w:num w:numId="10" w16cid:durableId="2039502073">
    <w:abstractNumId w:val="3"/>
  </w:num>
  <w:num w:numId="11" w16cid:durableId="763113715">
    <w:abstractNumId w:val="30"/>
  </w:num>
  <w:num w:numId="12" w16cid:durableId="579172965">
    <w:abstractNumId w:val="15"/>
  </w:num>
  <w:num w:numId="13" w16cid:durableId="1092315944">
    <w:abstractNumId w:val="34"/>
  </w:num>
  <w:num w:numId="14" w16cid:durableId="481966283">
    <w:abstractNumId w:val="32"/>
  </w:num>
  <w:num w:numId="15" w16cid:durableId="2096318470">
    <w:abstractNumId w:val="37"/>
  </w:num>
  <w:num w:numId="16" w16cid:durableId="1540627739">
    <w:abstractNumId w:val="0"/>
  </w:num>
  <w:num w:numId="17" w16cid:durableId="1108113405">
    <w:abstractNumId w:val="38"/>
  </w:num>
  <w:num w:numId="18" w16cid:durableId="124392172">
    <w:abstractNumId w:val="4"/>
  </w:num>
  <w:num w:numId="19" w16cid:durableId="362438984">
    <w:abstractNumId w:val="7"/>
  </w:num>
  <w:num w:numId="20" w16cid:durableId="1275820018">
    <w:abstractNumId w:val="24"/>
  </w:num>
  <w:num w:numId="21" w16cid:durableId="1154949929">
    <w:abstractNumId w:val="11"/>
  </w:num>
  <w:num w:numId="22" w16cid:durableId="300696094">
    <w:abstractNumId w:val="6"/>
  </w:num>
  <w:num w:numId="23" w16cid:durableId="1132358160">
    <w:abstractNumId w:val="18"/>
  </w:num>
  <w:num w:numId="24" w16cid:durableId="626157546">
    <w:abstractNumId w:val="28"/>
  </w:num>
  <w:num w:numId="25" w16cid:durableId="978847493">
    <w:abstractNumId w:val="31"/>
  </w:num>
  <w:num w:numId="26" w16cid:durableId="818141">
    <w:abstractNumId w:val="22"/>
  </w:num>
  <w:num w:numId="27" w16cid:durableId="695009464">
    <w:abstractNumId w:val="25"/>
  </w:num>
  <w:num w:numId="28" w16cid:durableId="1313096107">
    <w:abstractNumId w:val="33"/>
  </w:num>
  <w:num w:numId="29" w16cid:durableId="2109083809">
    <w:abstractNumId w:val="29"/>
  </w:num>
  <w:num w:numId="30" w16cid:durableId="436681094">
    <w:abstractNumId w:val="21"/>
  </w:num>
  <w:num w:numId="31" w16cid:durableId="1605114162">
    <w:abstractNumId w:val="38"/>
  </w:num>
  <w:num w:numId="32" w16cid:durableId="79912281">
    <w:abstractNumId w:val="38"/>
  </w:num>
  <w:num w:numId="33" w16cid:durableId="875387810">
    <w:abstractNumId w:val="38"/>
  </w:num>
  <w:num w:numId="34" w16cid:durableId="80420657">
    <w:abstractNumId w:val="16"/>
  </w:num>
  <w:num w:numId="35" w16cid:durableId="2008172997">
    <w:abstractNumId w:val="27"/>
  </w:num>
  <w:num w:numId="36" w16cid:durableId="404690137">
    <w:abstractNumId w:val="5"/>
  </w:num>
  <w:num w:numId="37" w16cid:durableId="1981615093">
    <w:abstractNumId w:val="1"/>
  </w:num>
  <w:num w:numId="38" w16cid:durableId="2013988487">
    <w:abstractNumId w:val="36"/>
  </w:num>
  <w:num w:numId="39" w16cid:durableId="330838657">
    <w:abstractNumId w:val="2"/>
  </w:num>
  <w:num w:numId="40" w16cid:durableId="1528561730">
    <w:abstractNumId w:val="26"/>
  </w:num>
  <w:num w:numId="41" w16cid:durableId="600526134">
    <w:abstractNumId w:val="20"/>
  </w:num>
  <w:num w:numId="42" w16cid:durableId="16303531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defaultTabStop w:val="720"/>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632"/>
    <w:rsid w:val="00001306"/>
    <w:rsid w:val="00001D2E"/>
    <w:rsid w:val="000143D3"/>
    <w:rsid w:val="00022997"/>
    <w:rsid w:val="00025421"/>
    <w:rsid w:val="00031F1F"/>
    <w:rsid w:val="00035019"/>
    <w:rsid w:val="00040573"/>
    <w:rsid w:val="00042FDB"/>
    <w:rsid w:val="000431EC"/>
    <w:rsid w:val="0004466E"/>
    <w:rsid w:val="0004514C"/>
    <w:rsid w:val="00047089"/>
    <w:rsid w:val="000505E9"/>
    <w:rsid w:val="000531F3"/>
    <w:rsid w:val="00054CC4"/>
    <w:rsid w:val="00056955"/>
    <w:rsid w:val="00060519"/>
    <w:rsid w:val="00065C06"/>
    <w:rsid w:val="00067ADE"/>
    <w:rsid w:val="000712AD"/>
    <w:rsid w:val="0007302E"/>
    <w:rsid w:val="000735C9"/>
    <w:rsid w:val="000738F5"/>
    <w:rsid w:val="000740C6"/>
    <w:rsid w:val="00075307"/>
    <w:rsid w:val="00076F98"/>
    <w:rsid w:val="0008375A"/>
    <w:rsid w:val="000865B3"/>
    <w:rsid w:val="00094D97"/>
    <w:rsid w:val="000A0B3A"/>
    <w:rsid w:val="000A2043"/>
    <w:rsid w:val="000A2520"/>
    <w:rsid w:val="000A46C7"/>
    <w:rsid w:val="000A66F2"/>
    <w:rsid w:val="000A7937"/>
    <w:rsid w:val="000B41D7"/>
    <w:rsid w:val="000B4D31"/>
    <w:rsid w:val="000B75DA"/>
    <w:rsid w:val="000C254C"/>
    <w:rsid w:val="000C781F"/>
    <w:rsid w:val="000D4772"/>
    <w:rsid w:val="000D6D16"/>
    <w:rsid w:val="000D7AA8"/>
    <w:rsid w:val="000E101F"/>
    <w:rsid w:val="000E4DCC"/>
    <w:rsid w:val="000F1235"/>
    <w:rsid w:val="000F4000"/>
    <w:rsid w:val="00102A64"/>
    <w:rsid w:val="00102AD2"/>
    <w:rsid w:val="00102B93"/>
    <w:rsid w:val="00113FFD"/>
    <w:rsid w:val="00117E04"/>
    <w:rsid w:val="0012306C"/>
    <w:rsid w:val="00123C58"/>
    <w:rsid w:val="00123FF0"/>
    <w:rsid w:val="00124186"/>
    <w:rsid w:val="001245B2"/>
    <w:rsid w:val="001245EF"/>
    <w:rsid w:val="00135967"/>
    <w:rsid w:val="001403F9"/>
    <w:rsid w:val="00141AC5"/>
    <w:rsid w:val="00142053"/>
    <w:rsid w:val="00150784"/>
    <w:rsid w:val="0015113E"/>
    <w:rsid w:val="00153E62"/>
    <w:rsid w:val="00154C99"/>
    <w:rsid w:val="00156858"/>
    <w:rsid w:val="0016011A"/>
    <w:rsid w:val="00161EB8"/>
    <w:rsid w:val="001631F8"/>
    <w:rsid w:val="001650F1"/>
    <w:rsid w:val="001677F4"/>
    <w:rsid w:val="001707BD"/>
    <w:rsid w:val="00170A4E"/>
    <w:rsid w:val="0017147F"/>
    <w:rsid w:val="0017219C"/>
    <w:rsid w:val="00174A03"/>
    <w:rsid w:val="001805EB"/>
    <w:rsid w:val="001828DE"/>
    <w:rsid w:val="0018402E"/>
    <w:rsid w:val="0018462A"/>
    <w:rsid w:val="00184E88"/>
    <w:rsid w:val="001902D7"/>
    <w:rsid w:val="00193DB7"/>
    <w:rsid w:val="00194C5B"/>
    <w:rsid w:val="00195EA4"/>
    <w:rsid w:val="00196F8F"/>
    <w:rsid w:val="001A0DDF"/>
    <w:rsid w:val="001A15EA"/>
    <w:rsid w:val="001A71C4"/>
    <w:rsid w:val="001A751E"/>
    <w:rsid w:val="001B19CC"/>
    <w:rsid w:val="001B2617"/>
    <w:rsid w:val="001B5E66"/>
    <w:rsid w:val="001B6C07"/>
    <w:rsid w:val="001B6C4A"/>
    <w:rsid w:val="001C01BD"/>
    <w:rsid w:val="001C04C8"/>
    <w:rsid w:val="001C07EA"/>
    <w:rsid w:val="001C5A95"/>
    <w:rsid w:val="001C6869"/>
    <w:rsid w:val="001D03B8"/>
    <w:rsid w:val="001D14C2"/>
    <w:rsid w:val="001D1602"/>
    <w:rsid w:val="001D1A72"/>
    <w:rsid w:val="001D7B08"/>
    <w:rsid w:val="001E1482"/>
    <w:rsid w:val="001E3EC0"/>
    <w:rsid w:val="001E61AE"/>
    <w:rsid w:val="001F0A43"/>
    <w:rsid w:val="001F2141"/>
    <w:rsid w:val="001F30D4"/>
    <w:rsid w:val="001F517E"/>
    <w:rsid w:val="001F7223"/>
    <w:rsid w:val="00203514"/>
    <w:rsid w:val="00203D60"/>
    <w:rsid w:val="00205227"/>
    <w:rsid w:val="00206E4C"/>
    <w:rsid w:val="00210DBF"/>
    <w:rsid w:val="00210E1E"/>
    <w:rsid w:val="002119CE"/>
    <w:rsid w:val="002128F9"/>
    <w:rsid w:val="00212FF5"/>
    <w:rsid w:val="00213F5F"/>
    <w:rsid w:val="00223013"/>
    <w:rsid w:val="00224083"/>
    <w:rsid w:val="00224A74"/>
    <w:rsid w:val="00230AD6"/>
    <w:rsid w:val="0024144C"/>
    <w:rsid w:val="00246156"/>
    <w:rsid w:val="0024646F"/>
    <w:rsid w:val="0025458D"/>
    <w:rsid w:val="002561E2"/>
    <w:rsid w:val="00257236"/>
    <w:rsid w:val="0026022A"/>
    <w:rsid w:val="00264560"/>
    <w:rsid w:val="002659DD"/>
    <w:rsid w:val="00265B01"/>
    <w:rsid w:val="0026619C"/>
    <w:rsid w:val="00266749"/>
    <w:rsid w:val="00266FF9"/>
    <w:rsid w:val="00275313"/>
    <w:rsid w:val="00275F6D"/>
    <w:rsid w:val="00277EBF"/>
    <w:rsid w:val="00280041"/>
    <w:rsid w:val="00282432"/>
    <w:rsid w:val="00282838"/>
    <w:rsid w:val="002829A4"/>
    <w:rsid w:val="00283165"/>
    <w:rsid w:val="00284B07"/>
    <w:rsid w:val="0028617C"/>
    <w:rsid w:val="00286F94"/>
    <w:rsid w:val="00287F1F"/>
    <w:rsid w:val="002905A5"/>
    <w:rsid w:val="00292500"/>
    <w:rsid w:val="002933A6"/>
    <w:rsid w:val="00294127"/>
    <w:rsid w:val="00294AA4"/>
    <w:rsid w:val="002953A0"/>
    <w:rsid w:val="002975D7"/>
    <w:rsid w:val="002A2634"/>
    <w:rsid w:val="002A7046"/>
    <w:rsid w:val="002B3455"/>
    <w:rsid w:val="002B3982"/>
    <w:rsid w:val="002B4FAD"/>
    <w:rsid w:val="002B6A37"/>
    <w:rsid w:val="002C198D"/>
    <w:rsid w:val="002C4223"/>
    <w:rsid w:val="002C6C5E"/>
    <w:rsid w:val="002C7591"/>
    <w:rsid w:val="002C7FB1"/>
    <w:rsid w:val="002D058E"/>
    <w:rsid w:val="002D0E07"/>
    <w:rsid w:val="002D715E"/>
    <w:rsid w:val="002E3BE8"/>
    <w:rsid w:val="002E3DFF"/>
    <w:rsid w:val="002E4426"/>
    <w:rsid w:val="002E52DC"/>
    <w:rsid w:val="002E6D47"/>
    <w:rsid w:val="002F61CD"/>
    <w:rsid w:val="0030045F"/>
    <w:rsid w:val="003034D8"/>
    <w:rsid w:val="00307005"/>
    <w:rsid w:val="00310171"/>
    <w:rsid w:val="003119A2"/>
    <w:rsid w:val="003123EB"/>
    <w:rsid w:val="00314756"/>
    <w:rsid w:val="00316A2D"/>
    <w:rsid w:val="003203AB"/>
    <w:rsid w:val="003207FD"/>
    <w:rsid w:val="00323192"/>
    <w:rsid w:val="0032322C"/>
    <w:rsid w:val="003247A1"/>
    <w:rsid w:val="003252FC"/>
    <w:rsid w:val="00325851"/>
    <w:rsid w:val="00326C4D"/>
    <w:rsid w:val="00333C96"/>
    <w:rsid w:val="00334279"/>
    <w:rsid w:val="00336AC8"/>
    <w:rsid w:val="00337628"/>
    <w:rsid w:val="00341CF8"/>
    <w:rsid w:val="00351634"/>
    <w:rsid w:val="00353292"/>
    <w:rsid w:val="00353F29"/>
    <w:rsid w:val="003561A1"/>
    <w:rsid w:val="003563BA"/>
    <w:rsid w:val="003569A4"/>
    <w:rsid w:val="00360A88"/>
    <w:rsid w:val="003635A0"/>
    <w:rsid w:val="0036440F"/>
    <w:rsid w:val="00364895"/>
    <w:rsid w:val="00365C4F"/>
    <w:rsid w:val="003662BF"/>
    <w:rsid w:val="00367E05"/>
    <w:rsid w:val="0037135C"/>
    <w:rsid w:val="003724EF"/>
    <w:rsid w:val="003728AB"/>
    <w:rsid w:val="003833AD"/>
    <w:rsid w:val="00385604"/>
    <w:rsid w:val="00385F7D"/>
    <w:rsid w:val="00387893"/>
    <w:rsid w:val="003929FD"/>
    <w:rsid w:val="00392CAE"/>
    <w:rsid w:val="003956E7"/>
    <w:rsid w:val="003A2DED"/>
    <w:rsid w:val="003A3AC8"/>
    <w:rsid w:val="003A3AD3"/>
    <w:rsid w:val="003A3C1B"/>
    <w:rsid w:val="003B0010"/>
    <w:rsid w:val="003B4F04"/>
    <w:rsid w:val="003C4AF9"/>
    <w:rsid w:val="003C4CCA"/>
    <w:rsid w:val="003D16BB"/>
    <w:rsid w:val="003D17B0"/>
    <w:rsid w:val="003D330B"/>
    <w:rsid w:val="003D455B"/>
    <w:rsid w:val="003D5DE5"/>
    <w:rsid w:val="003D713C"/>
    <w:rsid w:val="003D7FF7"/>
    <w:rsid w:val="003E17BE"/>
    <w:rsid w:val="003E193F"/>
    <w:rsid w:val="003E1B77"/>
    <w:rsid w:val="003E520F"/>
    <w:rsid w:val="003F2A41"/>
    <w:rsid w:val="003F36D3"/>
    <w:rsid w:val="003F67AB"/>
    <w:rsid w:val="00400F78"/>
    <w:rsid w:val="004010CA"/>
    <w:rsid w:val="00401FE3"/>
    <w:rsid w:val="0040203E"/>
    <w:rsid w:val="00407036"/>
    <w:rsid w:val="004078CA"/>
    <w:rsid w:val="00410F24"/>
    <w:rsid w:val="004117C7"/>
    <w:rsid w:val="00412806"/>
    <w:rsid w:val="00412D25"/>
    <w:rsid w:val="00417538"/>
    <w:rsid w:val="004216AC"/>
    <w:rsid w:val="0042363E"/>
    <w:rsid w:val="00424F1F"/>
    <w:rsid w:val="0042594E"/>
    <w:rsid w:val="00427106"/>
    <w:rsid w:val="004315D4"/>
    <w:rsid w:val="00431A1B"/>
    <w:rsid w:val="004332AE"/>
    <w:rsid w:val="004340C2"/>
    <w:rsid w:val="004377F0"/>
    <w:rsid w:val="00440D32"/>
    <w:rsid w:val="004417BC"/>
    <w:rsid w:val="00452FFC"/>
    <w:rsid w:val="00454CAC"/>
    <w:rsid w:val="004567CB"/>
    <w:rsid w:val="00460141"/>
    <w:rsid w:val="00460CC0"/>
    <w:rsid w:val="00465B22"/>
    <w:rsid w:val="00465D08"/>
    <w:rsid w:val="00467330"/>
    <w:rsid w:val="00472A83"/>
    <w:rsid w:val="004735E5"/>
    <w:rsid w:val="004779E9"/>
    <w:rsid w:val="00480DA5"/>
    <w:rsid w:val="0048148B"/>
    <w:rsid w:val="00486A3F"/>
    <w:rsid w:val="00491E19"/>
    <w:rsid w:val="00492484"/>
    <w:rsid w:val="004A1CF5"/>
    <w:rsid w:val="004A4BC8"/>
    <w:rsid w:val="004A4C93"/>
    <w:rsid w:val="004A67F5"/>
    <w:rsid w:val="004B07E0"/>
    <w:rsid w:val="004B2C1F"/>
    <w:rsid w:val="004B68B5"/>
    <w:rsid w:val="004C0987"/>
    <w:rsid w:val="004C4590"/>
    <w:rsid w:val="004C6428"/>
    <w:rsid w:val="004C69F1"/>
    <w:rsid w:val="004D7543"/>
    <w:rsid w:val="004E02EE"/>
    <w:rsid w:val="004E0ACF"/>
    <w:rsid w:val="004E24DF"/>
    <w:rsid w:val="004E35C7"/>
    <w:rsid w:val="004E3AE5"/>
    <w:rsid w:val="004E4D08"/>
    <w:rsid w:val="004E6FAB"/>
    <w:rsid w:val="004E6FBE"/>
    <w:rsid w:val="004F0350"/>
    <w:rsid w:val="004F0900"/>
    <w:rsid w:val="0050271E"/>
    <w:rsid w:val="00504F4E"/>
    <w:rsid w:val="005108A7"/>
    <w:rsid w:val="00510B8E"/>
    <w:rsid w:val="00510D6F"/>
    <w:rsid w:val="0051396F"/>
    <w:rsid w:val="005145BA"/>
    <w:rsid w:val="00521F24"/>
    <w:rsid w:val="00522A08"/>
    <w:rsid w:val="00523FD7"/>
    <w:rsid w:val="00524B09"/>
    <w:rsid w:val="005331FB"/>
    <w:rsid w:val="00533970"/>
    <w:rsid w:val="005344B3"/>
    <w:rsid w:val="0053496A"/>
    <w:rsid w:val="005401EB"/>
    <w:rsid w:val="00540450"/>
    <w:rsid w:val="00542D3A"/>
    <w:rsid w:val="005456BD"/>
    <w:rsid w:val="00546E05"/>
    <w:rsid w:val="00551D22"/>
    <w:rsid w:val="0055505E"/>
    <w:rsid w:val="0056276E"/>
    <w:rsid w:val="00566A02"/>
    <w:rsid w:val="00566B2F"/>
    <w:rsid w:val="005670A5"/>
    <w:rsid w:val="00567BEC"/>
    <w:rsid w:val="005701C2"/>
    <w:rsid w:val="005711C3"/>
    <w:rsid w:val="00571DF0"/>
    <w:rsid w:val="005728FA"/>
    <w:rsid w:val="00573E90"/>
    <w:rsid w:val="00574B26"/>
    <w:rsid w:val="00574EB8"/>
    <w:rsid w:val="00577494"/>
    <w:rsid w:val="00577B22"/>
    <w:rsid w:val="00585F93"/>
    <w:rsid w:val="00587F07"/>
    <w:rsid w:val="00591601"/>
    <w:rsid w:val="00591AF7"/>
    <w:rsid w:val="005941AE"/>
    <w:rsid w:val="00594997"/>
    <w:rsid w:val="0059715E"/>
    <w:rsid w:val="005A6209"/>
    <w:rsid w:val="005B3A37"/>
    <w:rsid w:val="005C06C2"/>
    <w:rsid w:val="005C3918"/>
    <w:rsid w:val="005C5D76"/>
    <w:rsid w:val="005C63EB"/>
    <w:rsid w:val="005C7596"/>
    <w:rsid w:val="005D50AA"/>
    <w:rsid w:val="005D7436"/>
    <w:rsid w:val="005E184C"/>
    <w:rsid w:val="005E6F31"/>
    <w:rsid w:val="005F539E"/>
    <w:rsid w:val="005F5EF5"/>
    <w:rsid w:val="005F644D"/>
    <w:rsid w:val="006024D1"/>
    <w:rsid w:val="00603BC3"/>
    <w:rsid w:val="00605739"/>
    <w:rsid w:val="00607C27"/>
    <w:rsid w:val="00613817"/>
    <w:rsid w:val="006149A9"/>
    <w:rsid w:val="006159A7"/>
    <w:rsid w:val="00616A20"/>
    <w:rsid w:val="00621B8E"/>
    <w:rsid w:val="00622CF9"/>
    <w:rsid w:val="00622EBF"/>
    <w:rsid w:val="00626803"/>
    <w:rsid w:val="00631256"/>
    <w:rsid w:val="006334D1"/>
    <w:rsid w:val="0064199A"/>
    <w:rsid w:val="00642214"/>
    <w:rsid w:val="006431FD"/>
    <w:rsid w:val="006447D4"/>
    <w:rsid w:val="00644D90"/>
    <w:rsid w:val="0065099E"/>
    <w:rsid w:val="00651302"/>
    <w:rsid w:val="00654D89"/>
    <w:rsid w:val="00655251"/>
    <w:rsid w:val="00657ED1"/>
    <w:rsid w:val="00660371"/>
    <w:rsid w:val="00660DB7"/>
    <w:rsid w:val="00661527"/>
    <w:rsid w:val="00662276"/>
    <w:rsid w:val="00664102"/>
    <w:rsid w:val="00664515"/>
    <w:rsid w:val="006657E1"/>
    <w:rsid w:val="00666BBF"/>
    <w:rsid w:val="00670FC7"/>
    <w:rsid w:val="00680F19"/>
    <w:rsid w:val="00683A60"/>
    <w:rsid w:val="006851A7"/>
    <w:rsid w:val="00687B5E"/>
    <w:rsid w:val="00691038"/>
    <w:rsid w:val="006911E1"/>
    <w:rsid w:val="00691685"/>
    <w:rsid w:val="00693DD7"/>
    <w:rsid w:val="00696C81"/>
    <w:rsid w:val="006A1B50"/>
    <w:rsid w:val="006A1DDD"/>
    <w:rsid w:val="006A3076"/>
    <w:rsid w:val="006A3223"/>
    <w:rsid w:val="006A38F8"/>
    <w:rsid w:val="006A7721"/>
    <w:rsid w:val="006B2814"/>
    <w:rsid w:val="006B32BB"/>
    <w:rsid w:val="006B444F"/>
    <w:rsid w:val="006B7410"/>
    <w:rsid w:val="006B741A"/>
    <w:rsid w:val="006B7869"/>
    <w:rsid w:val="006C0557"/>
    <w:rsid w:val="006C1F6C"/>
    <w:rsid w:val="006C2E6C"/>
    <w:rsid w:val="006C3396"/>
    <w:rsid w:val="006C4828"/>
    <w:rsid w:val="006D2CA2"/>
    <w:rsid w:val="006D7428"/>
    <w:rsid w:val="006D7F33"/>
    <w:rsid w:val="006E33D9"/>
    <w:rsid w:val="006E57A4"/>
    <w:rsid w:val="006E615F"/>
    <w:rsid w:val="006E6245"/>
    <w:rsid w:val="006F3133"/>
    <w:rsid w:val="006F3574"/>
    <w:rsid w:val="006F7872"/>
    <w:rsid w:val="00700554"/>
    <w:rsid w:val="00700A9C"/>
    <w:rsid w:val="00700BA1"/>
    <w:rsid w:val="00703135"/>
    <w:rsid w:val="00703DDC"/>
    <w:rsid w:val="0070467F"/>
    <w:rsid w:val="00704C35"/>
    <w:rsid w:val="007052E3"/>
    <w:rsid w:val="00706EFD"/>
    <w:rsid w:val="00710B8B"/>
    <w:rsid w:val="00714D61"/>
    <w:rsid w:val="00717B74"/>
    <w:rsid w:val="00723679"/>
    <w:rsid w:val="00723F6C"/>
    <w:rsid w:val="00732C1F"/>
    <w:rsid w:val="00737E03"/>
    <w:rsid w:val="0074160E"/>
    <w:rsid w:val="00742D50"/>
    <w:rsid w:val="00743717"/>
    <w:rsid w:val="00743CBC"/>
    <w:rsid w:val="00744BBE"/>
    <w:rsid w:val="00745F75"/>
    <w:rsid w:val="00746886"/>
    <w:rsid w:val="00751C29"/>
    <w:rsid w:val="007536AA"/>
    <w:rsid w:val="00754125"/>
    <w:rsid w:val="0075473B"/>
    <w:rsid w:val="0075614A"/>
    <w:rsid w:val="00757389"/>
    <w:rsid w:val="00757CB6"/>
    <w:rsid w:val="00757EA0"/>
    <w:rsid w:val="00762959"/>
    <w:rsid w:val="0077055B"/>
    <w:rsid w:val="00771FC6"/>
    <w:rsid w:val="00772635"/>
    <w:rsid w:val="00775767"/>
    <w:rsid w:val="00775A17"/>
    <w:rsid w:val="00783D92"/>
    <w:rsid w:val="00785FB7"/>
    <w:rsid w:val="0078639F"/>
    <w:rsid w:val="00787E9A"/>
    <w:rsid w:val="00791915"/>
    <w:rsid w:val="00793B13"/>
    <w:rsid w:val="00795761"/>
    <w:rsid w:val="00795FDB"/>
    <w:rsid w:val="007A0289"/>
    <w:rsid w:val="007A4A45"/>
    <w:rsid w:val="007A7F38"/>
    <w:rsid w:val="007B42EE"/>
    <w:rsid w:val="007B43F6"/>
    <w:rsid w:val="007B49DB"/>
    <w:rsid w:val="007B4A9C"/>
    <w:rsid w:val="007B4EA6"/>
    <w:rsid w:val="007B6349"/>
    <w:rsid w:val="007B72AA"/>
    <w:rsid w:val="007C372D"/>
    <w:rsid w:val="007C527F"/>
    <w:rsid w:val="007C5B9A"/>
    <w:rsid w:val="007C5CBC"/>
    <w:rsid w:val="007C7251"/>
    <w:rsid w:val="007D0CC2"/>
    <w:rsid w:val="007D44E5"/>
    <w:rsid w:val="007D45C4"/>
    <w:rsid w:val="007E1355"/>
    <w:rsid w:val="007E15C5"/>
    <w:rsid w:val="007E74C0"/>
    <w:rsid w:val="007F0406"/>
    <w:rsid w:val="00802731"/>
    <w:rsid w:val="008104C7"/>
    <w:rsid w:val="00811D1C"/>
    <w:rsid w:val="00816849"/>
    <w:rsid w:val="00821DE5"/>
    <w:rsid w:val="008256AD"/>
    <w:rsid w:val="00826FA5"/>
    <w:rsid w:val="00834D84"/>
    <w:rsid w:val="00835A94"/>
    <w:rsid w:val="008364F3"/>
    <w:rsid w:val="00836672"/>
    <w:rsid w:val="008403C4"/>
    <w:rsid w:val="00841081"/>
    <w:rsid w:val="008445A9"/>
    <w:rsid w:val="00850D10"/>
    <w:rsid w:val="00851A17"/>
    <w:rsid w:val="00853689"/>
    <w:rsid w:val="00854DE1"/>
    <w:rsid w:val="00855193"/>
    <w:rsid w:val="00857A24"/>
    <w:rsid w:val="0086021D"/>
    <w:rsid w:val="00864B3A"/>
    <w:rsid w:val="00865F9A"/>
    <w:rsid w:val="0087478C"/>
    <w:rsid w:val="00876C4B"/>
    <w:rsid w:val="00880D84"/>
    <w:rsid w:val="0088279D"/>
    <w:rsid w:val="008837AC"/>
    <w:rsid w:val="00886C87"/>
    <w:rsid w:val="00894CE8"/>
    <w:rsid w:val="008963D0"/>
    <w:rsid w:val="008B2884"/>
    <w:rsid w:val="008B6D4D"/>
    <w:rsid w:val="008B781C"/>
    <w:rsid w:val="008C03F4"/>
    <w:rsid w:val="008C051A"/>
    <w:rsid w:val="008C0567"/>
    <w:rsid w:val="008C0A7A"/>
    <w:rsid w:val="008C35D2"/>
    <w:rsid w:val="008C4640"/>
    <w:rsid w:val="008C6EE9"/>
    <w:rsid w:val="008C6FDC"/>
    <w:rsid w:val="008D1823"/>
    <w:rsid w:val="008D2249"/>
    <w:rsid w:val="008D5015"/>
    <w:rsid w:val="008E2469"/>
    <w:rsid w:val="008E2850"/>
    <w:rsid w:val="008E3A93"/>
    <w:rsid w:val="008E7B09"/>
    <w:rsid w:val="008F0E25"/>
    <w:rsid w:val="008F1942"/>
    <w:rsid w:val="008F241E"/>
    <w:rsid w:val="008F2F80"/>
    <w:rsid w:val="008F7172"/>
    <w:rsid w:val="00900675"/>
    <w:rsid w:val="00901693"/>
    <w:rsid w:val="00905D54"/>
    <w:rsid w:val="00906DBB"/>
    <w:rsid w:val="00910A9B"/>
    <w:rsid w:val="00916A12"/>
    <w:rsid w:val="00921E3E"/>
    <w:rsid w:val="00927528"/>
    <w:rsid w:val="0093382F"/>
    <w:rsid w:val="00934987"/>
    <w:rsid w:val="00943B1F"/>
    <w:rsid w:val="009441BF"/>
    <w:rsid w:val="0094496B"/>
    <w:rsid w:val="00945A98"/>
    <w:rsid w:val="00945F62"/>
    <w:rsid w:val="00952964"/>
    <w:rsid w:val="009550AD"/>
    <w:rsid w:val="00960E1E"/>
    <w:rsid w:val="00962837"/>
    <w:rsid w:val="009629C3"/>
    <w:rsid w:val="009632F9"/>
    <w:rsid w:val="009635F7"/>
    <w:rsid w:val="0096537C"/>
    <w:rsid w:val="009745C4"/>
    <w:rsid w:val="009765F9"/>
    <w:rsid w:val="009767D2"/>
    <w:rsid w:val="00982F98"/>
    <w:rsid w:val="009832AC"/>
    <w:rsid w:val="00983727"/>
    <w:rsid w:val="009848B1"/>
    <w:rsid w:val="009866EC"/>
    <w:rsid w:val="009868E7"/>
    <w:rsid w:val="0098752E"/>
    <w:rsid w:val="00987AE6"/>
    <w:rsid w:val="009912A8"/>
    <w:rsid w:val="00992EBA"/>
    <w:rsid w:val="009931A1"/>
    <w:rsid w:val="009959FC"/>
    <w:rsid w:val="00995B85"/>
    <w:rsid w:val="00996969"/>
    <w:rsid w:val="00996F45"/>
    <w:rsid w:val="00997842"/>
    <w:rsid w:val="009A1511"/>
    <w:rsid w:val="009A37B4"/>
    <w:rsid w:val="009A5F6A"/>
    <w:rsid w:val="009B1AEE"/>
    <w:rsid w:val="009B2C39"/>
    <w:rsid w:val="009B4CE1"/>
    <w:rsid w:val="009B7308"/>
    <w:rsid w:val="009C6923"/>
    <w:rsid w:val="009C78FC"/>
    <w:rsid w:val="009D0DA3"/>
    <w:rsid w:val="009D2612"/>
    <w:rsid w:val="009D4F00"/>
    <w:rsid w:val="009E19D5"/>
    <w:rsid w:val="009E2C37"/>
    <w:rsid w:val="009E409F"/>
    <w:rsid w:val="009E4631"/>
    <w:rsid w:val="009E4725"/>
    <w:rsid w:val="009E49F5"/>
    <w:rsid w:val="009E5FBD"/>
    <w:rsid w:val="009E6492"/>
    <w:rsid w:val="009F32FF"/>
    <w:rsid w:val="009F70BA"/>
    <w:rsid w:val="00A012BF"/>
    <w:rsid w:val="00A03023"/>
    <w:rsid w:val="00A06BA2"/>
    <w:rsid w:val="00A06FA3"/>
    <w:rsid w:val="00A06FD3"/>
    <w:rsid w:val="00A14F43"/>
    <w:rsid w:val="00A21591"/>
    <w:rsid w:val="00A25672"/>
    <w:rsid w:val="00A25959"/>
    <w:rsid w:val="00A308B3"/>
    <w:rsid w:val="00A34E06"/>
    <w:rsid w:val="00A35CD1"/>
    <w:rsid w:val="00A36133"/>
    <w:rsid w:val="00A400E1"/>
    <w:rsid w:val="00A41325"/>
    <w:rsid w:val="00A43A37"/>
    <w:rsid w:val="00A44F02"/>
    <w:rsid w:val="00A50EA4"/>
    <w:rsid w:val="00A562DB"/>
    <w:rsid w:val="00A612EB"/>
    <w:rsid w:val="00A61547"/>
    <w:rsid w:val="00A61819"/>
    <w:rsid w:val="00A6188F"/>
    <w:rsid w:val="00A635C8"/>
    <w:rsid w:val="00A64FD7"/>
    <w:rsid w:val="00A72AF7"/>
    <w:rsid w:val="00A74EFE"/>
    <w:rsid w:val="00A74FD8"/>
    <w:rsid w:val="00A759A3"/>
    <w:rsid w:val="00A769B5"/>
    <w:rsid w:val="00A77FCE"/>
    <w:rsid w:val="00A83693"/>
    <w:rsid w:val="00A8747D"/>
    <w:rsid w:val="00A968A8"/>
    <w:rsid w:val="00AA4824"/>
    <w:rsid w:val="00AA7A1B"/>
    <w:rsid w:val="00AB1148"/>
    <w:rsid w:val="00AB3E11"/>
    <w:rsid w:val="00AB4A78"/>
    <w:rsid w:val="00AB4FC0"/>
    <w:rsid w:val="00AB555E"/>
    <w:rsid w:val="00AB661E"/>
    <w:rsid w:val="00AB6A3F"/>
    <w:rsid w:val="00AB7567"/>
    <w:rsid w:val="00AC4638"/>
    <w:rsid w:val="00AC76CB"/>
    <w:rsid w:val="00AD1150"/>
    <w:rsid w:val="00AD2326"/>
    <w:rsid w:val="00AD49BB"/>
    <w:rsid w:val="00AD7281"/>
    <w:rsid w:val="00AD7E6C"/>
    <w:rsid w:val="00AE752A"/>
    <w:rsid w:val="00AE7CD8"/>
    <w:rsid w:val="00AF16E2"/>
    <w:rsid w:val="00AF59F5"/>
    <w:rsid w:val="00B02D01"/>
    <w:rsid w:val="00B1135A"/>
    <w:rsid w:val="00B13A1A"/>
    <w:rsid w:val="00B1492A"/>
    <w:rsid w:val="00B205FD"/>
    <w:rsid w:val="00B26616"/>
    <w:rsid w:val="00B269F0"/>
    <w:rsid w:val="00B3004B"/>
    <w:rsid w:val="00B30172"/>
    <w:rsid w:val="00B308B4"/>
    <w:rsid w:val="00B344DC"/>
    <w:rsid w:val="00B35584"/>
    <w:rsid w:val="00B3721C"/>
    <w:rsid w:val="00B4474C"/>
    <w:rsid w:val="00B452C6"/>
    <w:rsid w:val="00B507DD"/>
    <w:rsid w:val="00B512EE"/>
    <w:rsid w:val="00B53967"/>
    <w:rsid w:val="00B5482F"/>
    <w:rsid w:val="00B55269"/>
    <w:rsid w:val="00B565CE"/>
    <w:rsid w:val="00B63D8F"/>
    <w:rsid w:val="00B65632"/>
    <w:rsid w:val="00B67B7F"/>
    <w:rsid w:val="00B70067"/>
    <w:rsid w:val="00B70582"/>
    <w:rsid w:val="00B7779D"/>
    <w:rsid w:val="00B77EE0"/>
    <w:rsid w:val="00B82835"/>
    <w:rsid w:val="00B83107"/>
    <w:rsid w:val="00B857AA"/>
    <w:rsid w:val="00B85EBB"/>
    <w:rsid w:val="00B863CC"/>
    <w:rsid w:val="00B86B4A"/>
    <w:rsid w:val="00B91180"/>
    <w:rsid w:val="00B956B5"/>
    <w:rsid w:val="00B95920"/>
    <w:rsid w:val="00B95956"/>
    <w:rsid w:val="00B96F81"/>
    <w:rsid w:val="00B97C47"/>
    <w:rsid w:val="00BA4FB2"/>
    <w:rsid w:val="00BA6A8F"/>
    <w:rsid w:val="00BB233A"/>
    <w:rsid w:val="00BB45D9"/>
    <w:rsid w:val="00BB7C77"/>
    <w:rsid w:val="00BC018A"/>
    <w:rsid w:val="00BC7A71"/>
    <w:rsid w:val="00BD0246"/>
    <w:rsid w:val="00BD0471"/>
    <w:rsid w:val="00BD4859"/>
    <w:rsid w:val="00BE0466"/>
    <w:rsid w:val="00BE1D38"/>
    <w:rsid w:val="00BE2F6B"/>
    <w:rsid w:val="00BE37D7"/>
    <w:rsid w:val="00BE5B55"/>
    <w:rsid w:val="00BF0034"/>
    <w:rsid w:val="00BF21A5"/>
    <w:rsid w:val="00BF323C"/>
    <w:rsid w:val="00BF3701"/>
    <w:rsid w:val="00BF6911"/>
    <w:rsid w:val="00C00134"/>
    <w:rsid w:val="00C00AE3"/>
    <w:rsid w:val="00C01589"/>
    <w:rsid w:val="00C027E7"/>
    <w:rsid w:val="00C02CA3"/>
    <w:rsid w:val="00C041EC"/>
    <w:rsid w:val="00C0785B"/>
    <w:rsid w:val="00C16F5C"/>
    <w:rsid w:val="00C20755"/>
    <w:rsid w:val="00C20F0A"/>
    <w:rsid w:val="00C21A6D"/>
    <w:rsid w:val="00C21EF9"/>
    <w:rsid w:val="00C23B6A"/>
    <w:rsid w:val="00C26944"/>
    <w:rsid w:val="00C26B0A"/>
    <w:rsid w:val="00C26DB7"/>
    <w:rsid w:val="00C27EE6"/>
    <w:rsid w:val="00C31A70"/>
    <w:rsid w:val="00C35987"/>
    <w:rsid w:val="00C47214"/>
    <w:rsid w:val="00C50CDD"/>
    <w:rsid w:val="00C54DEE"/>
    <w:rsid w:val="00C602D6"/>
    <w:rsid w:val="00C619CC"/>
    <w:rsid w:val="00C72388"/>
    <w:rsid w:val="00C73EAC"/>
    <w:rsid w:val="00C74818"/>
    <w:rsid w:val="00C75D6D"/>
    <w:rsid w:val="00C80500"/>
    <w:rsid w:val="00C8179B"/>
    <w:rsid w:val="00C81FF1"/>
    <w:rsid w:val="00C87360"/>
    <w:rsid w:val="00C9275B"/>
    <w:rsid w:val="00CA1865"/>
    <w:rsid w:val="00CA3201"/>
    <w:rsid w:val="00CA4220"/>
    <w:rsid w:val="00CA62B0"/>
    <w:rsid w:val="00CB16AB"/>
    <w:rsid w:val="00CB325D"/>
    <w:rsid w:val="00CB3CEF"/>
    <w:rsid w:val="00CB66AD"/>
    <w:rsid w:val="00CC3497"/>
    <w:rsid w:val="00CC45DD"/>
    <w:rsid w:val="00CC6C2E"/>
    <w:rsid w:val="00CC6CBF"/>
    <w:rsid w:val="00CC73AE"/>
    <w:rsid w:val="00CD022B"/>
    <w:rsid w:val="00CD168C"/>
    <w:rsid w:val="00CD5933"/>
    <w:rsid w:val="00CE4BBE"/>
    <w:rsid w:val="00CE56E1"/>
    <w:rsid w:val="00CE6BEC"/>
    <w:rsid w:val="00CF4A63"/>
    <w:rsid w:val="00D0143F"/>
    <w:rsid w:val="00D05068"/>
    <w:rsid w:val="00D06CC8"/>
    <w:rsid w:val="00D10DF6"/>
    <w:rsid w:val="00D119CD"/>
    <w:rsid w:val="00D12D21"/>
    <w:rsid w:val="00D1409F"/>
    <w:rsid w:val="00D1488E"/>
    <w:rsid w:val="00D159B0"/>
    <w:rsid w:val="00D15F83"/>
    <w:rsid w:val="00D170C1"/>
    <w:rsid w:val="00D25538"/>
    <w:rsid w:val="00D25E6E"/>
    <w:rsid w:val="00D27851"/>
    <w:rsid w:val="00D305E2"/>
    <w:rsid w:val="00D30E39"/>
    <w:rsid w:val="00D321D5"/>
    <w:rsid w:val="00D36792"/>
    <w:rsid w:val="00D40080"/>
    <w:rsid w:val="00D41AC3"/>
    <w:rsid w:val="00D46FAE"/>
    <w:rsid w:val="00D500C0"/>
    <w:rsid w:val="00D51951"/>
    <w:rsid w:val="00D55A99"/>
    <w:rsid w:val="00D641EC"/>
    <w:rsid w:val="00D648DA"/>
    <w:rsid w:val="00D67A64"/>
    <w:rsid w:val="00D741C5"/>
    <w:rsid w:val="00D74874"/>
    <w:rsid w:val="00D77E44"/>
    <w:rsid w:val="00D77F20"/>
    <w:rsid w:val="00D8258D"/>
    <w:rsid w:val="00D83376"/>
    <w:rsid w:val="00D851C0"/>
    <w:rsid w:val="00D858F1"/>
    <w:rsid w:val="00D87056"/>
    <w:rsid w:val="00D908E7"/>
    <w:rsid w:val="00D93D31"/>
    <w:rsid w:val="00D96E69"/>
    <w:rsid w:val="00DA0368"/>
    <w:rsid w:val="00DA0680"/>
    <w:rsid w:val="00DA0A5B"/>
    <w:rsid w:val="00DA2F12"/>
    <w:rsid w:val="00DA3D45"/>
    <w:rsid w:val="00DC724A"/>
    <w:rsid w:val="00DD1242"/>
    <w:rsid w:val="00DD1EA8"/>
    <w:rsid w:val="00DD34B8"/>
    <w:rsid w:val="00DD3EC2"/>
    <w:rsid w:val="00DD3F28"/>
    <w:rsid w:val="00DD74E2"/>
    <w:rsid w:val="00DE240B"/>
    <w:rsid w:val="00DE298B"/>
    <w:rsid w:val="00DE2BB3"/>
    <w:rsid w:val="00DE3E28"/>
    <w:rsid w:val="00DE6B21"/>
    <w:rsid w:val="00DF167D"/>
    <w:rsid w:val="00DF18B7"/>
    <w:rsid w:val="00DF2724"/>
    <w:rsid w:val="00DF2F96"/>
    <w:rsid w:val="00DF3BB3"/>
    <w:rsid w:val="00DF55B2"/>
    <w:rsid w:val="00E001BA"/>
    <w:rsid w:val="00E033CD"/>
    <w:rsid w:val="00E035B1"/>
    <w:rsid w:val="00E10735"/>
    <w:rsid w:val="00E10E6B"/>
    <w:rsid w:val="00E15CA3"/>
    <w:rsid w:val="00E23100"/>
    <w:rsid w:val="00E2711C"/>
    <w:rsid w:val="00E31402"/>
    <w:rsid w:val="00E33D6C"/>
    <w:rsid w:val="00E40777"/>
    <w:rsid w:val="00E4153E"/>
    <w:rsid w:val="00E4330E"/>
    <w:rsid w:val="00E459CF"/>
    <w:rsid w:val="00E51367"/>
    <w:rsid w:val="00E5290C"/>
    <w:rsid w:val="00E575E1"/>
    <w:rsid w:val="00E57D52"/>
    <w:rsid w:val="00E65C34"/>
    <w:rsid w:val="00E65D3F"/>
    <w:rsid w:val="00E65D6A"/>
    <w:rsid w:val="00E66615"/>
    <w:rsid w:val="00E6670D"/>
    <w:rsid w:val="00E7154F"/>
    <w:rsid w:val="00E73AAC"/>
    <w:rsid w:val="00E7420C"/>
    <w:rsid w:val="00E744FB"/>
    <w:rsid w:val="00E823CB"/>
    <w:rsid w:val="00E85397"/>
    <w:rsid w:val="00E8671F"/>
    <w:rsid w:val="00E87209"/>
    <w:rsid w:val="00E90AC8"/>
    <w:rsid w:val="00E930F0"/>
    <w:rsid w:val="00E9376A"/>
    <w:rsid w:val="00E94BE8"/>
    <w:rsid w:val="00E965C4"/>
    <w:rsid w:val="00E97E6F"/>
    <w:rsid w:val="00EA2EBE"/>
    <w:rsid w:val="00EA3D65"/>
    <w:rsid w:val="00EA41B8"/>
    <w:rsid w:val="00EA582D"/>
    <w:rsid w:val="00EA7B8F"/>
    <w:rsid w:val="00EA7C4F"/>
    <w:rsid w:val="00EB0349"/>
    <w:rsid w:val="00EB389E"/>
    <w:rsid w:val="00EB3A0B"/>
    <w:rsid w:val="00EB4458"/>
    <w:rsid w:val="00EB4DEF"/>
    <w:rsid w:val="00EB518D"/>
    <w:rsid w:val="00EB5D4A"/>
    <w:rsid w:val="00EB7A3B"/>
    <w:rsid w:val="00ED03B8"/>
    <w:rsid w:val="00ED340D"/>
    <w:rsid w:val="00ED638A"/>
    <w:rsid w:val="00EE2D84"/>
    <w:rsid w:val="00EE2F6F"/>
    <w:rsid w:val="00EE593B"/>
    <w:rsid w:val="00EF12A0"/>
    <w:rsid w:val="00EF3754"/>
    <w:rsid w:val="00EF3BE8"/>
    <w:rsid w:val="00EF7614"/>
    <w:rsid w:val="00EF78B7"/>
    <w:rsid w:val="00F04C94"/>
    <w:rsid w:val="00F10F98"/>
    <w:rsid w:val="00F14896"/>
    <w:rsid w:val="00F15346"/>
    <w:rsid w:val="00F17145"/>
    <w:rsid w:val="00F20DA4"/>
    <w:rsid w:val="00F23F82"/>
    <w:rsid w:val="00F241F1"/>
    <w:rsid w:val="00F30C23"/>
    <w:rsid w:val="00F31245"/>
    <w:rsid w:val="00F40955"/>
    <w:rsid w:val="00F42568"/>
    <w:rsid w:val="00F43C97"/>
    <w:rsid w:val="00F43E3A"/>
    <w:rsid w:val="00F44F8C"/>
    <w:rsid w:val="00F4651A"/>
    <w:rsid w:val="00F46FCF"/>
    <w:rsid w:val="00F5051E"/>
    <w:rsid w:val="00F54D13"/>
    <w:rsid w:val="00F57C28"/>
    <w:rsid w:val="00F608B0"/>
    <w:rsid w:val="00F61CE5"/>
    <w:rsid w:val="00F6311E"/>
    <w:rsid w:val="00F652CB"/>
    <w:rsid w:val="00F71BA7"/>
    <w:rsid w:val="00F75B3F"/>
    <w:rsid w:val="00F80407"/>
    <w:rsid w:val="00F847C2"/>
    <w:rsid w:val="00F85080"/>
    <w:rsid w:val="00F85238"/>
    <w:rsid w:val="00F85684"/>
    <w:rsid w:val="00F86432"/>
    <w:rsid w:val="00F94593"/>
    <w:rsid w:val="00F952E8"/>
    <w:rsid w:val="00FA239C"/>
    <w:rsid w:val="00FA3E4B"/>
    <w:rsid w:val="00FA512C"/>
    <w:rsid w:val="00FA521D"/>
    <w:rsid w:val="00FA6AFD"/>
    <w:rsid w:val="00FA7505"/>
    <w:rsid w:val="00FB6C28"/>
    <w:rsid w:val="00FB71D5"/>
    <w:rsid w:val="00FC51B6"/>
    <w:rsid w:val="00FC7080"/>
    <w:rsid w:val="00FC708C"/>
    <w:rsid w:val="00FC72C8"/>
    <w:rsid w:val="00FD021E"/>
    <w:rsid w:val="00FD310E"/>
    <w:rsid w:val="00FD6F25"/>
    <w:rsid w:val="00FE47CC"/>
    <w:rsid w:val="00FE7C8E"/>
    <w:rsid w:val="00FF6B02"/>
    <w:rsid w:val="1E7B909F"/>
    <w:rsid w:val="2A020B45"/>
    <w:rsid w:val="46E57740"/>
    <w:rsid w:val="56538D9C"/>
    <w:rsid w:val="587E430E"/>
    <w:rsid w:val="5E2F2B5C"/>
    <w:rsid w:val="67EC596A"/>
    <w:rsid w:val="739C2261"/>
    <w:rsid w:val="79A63B1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3012"/>
  <w15:docId w15:val="{AD96DAE1-1B31-478D-98A1-46734B7B8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Arial" w:hAnsi="Arial"/>
      <w:sz w:val="22"/>
      <w:lang w:eastAsia="en-US"/>
    </w:rPr>
  </w:style>
  <w:style w:type="paragraph" w:styleId="Heading1">
    <w:name w:val="heading 1"/>
    <w:basedOn w:val="Normal"/>
    <w:next w:val="Normal"/>
    <w:qFormat/>
    <w:pPr>
      <w:keepNext/>
      <w:numPr>
        <w:numId w:val="17"/>
      </w:numPr>
      <w:spacing w:before="240" w:after="60"/>
      <w:outlineLvl w:val="0"/>
    </w:pPr>
    <w:rPr>
      <w:b/>
      <w:kern w:val="28"/>
      <w:sz w:val="28"/>
    </w:rPr>
  </w:style>
  <w:style w:type="paragraph" w:styleId="Heading2">
    <w:name w:val="heading 2"/>
    <w:basedOn w:val="Heading1"/>
    <w:next w:val="Normal"/>
    <w:qFormat/>
    <w:pPr>
      <w:numPr>
        <w:ilvl w:val="1"/>
      </w:numPr>
      <w:spacing w:before="0" w:after="0"/>
      <w:outlineLvl w:val="1"/>
    </w:pPr>
    <w:rPr>
      <w:b w:val="0"/>
      <w:bCs/>
      <w:kern w:val="0"/>
      <w:sz w:val="22"/>
    </w:rPr>
  </w:style>
  <w:style w:type="paragraph" w:styleId="Heading3">
    <w:name w:val="heading 3"/>
    <w:basedOn w:val="Heading2"/>
    <w:next w:val="Normal"/>
    <w:qFormat/>
    <w:pPr>
      <w:numPr>
        <w:ilvl w:val="2"/>
      </w:numPr>
      <w:outlineLvl w:val="2"/>
    </w:pPr>
    <w:rPr>
      <w:bCs w:val="0"/>
    </w:rPr>
  </w:style>
  <w:style w:type="paragraph" w:styleId="Heading4">
    <w:name w:val="heading 4"/>
    <w:basedOn w:val="Normal"/>
    <w:next w:val="Normal"/>
    <w:qFormat/>
    <w:pPr>
      <w:keepNext/>
      <w:numPr>
        <w:ilvl w:val="3"/>
        <w:numId w:val="17"/>
      </w:numPr>
      <w:outlineLvl w:val="3"/>
    </w:pPr>
    <w:rPr>
      <w:i/>
      <w:iCs/>
    </w:rPr>
  </w:style>
  <w:style w:type="paragraph" w:styleId="Heading5">
    <w:name w:val="heading 5"/>
    <w:basedOn w:val="Normal"/>
    <w:next w:val="Normal"/>
    <w:qFormat/>
    <w:pPr>
      <w:keepNext/>
      <w:numPr>
        <w:ilvl w:val="4"/>
        <w:numId w:val="17"/>
      </w:numPr>
      <w:jc w:val="center"/>
      <w:outlineLvl w:val="4"/>
    </w:pPr>
    <w:rPr>
      <w:b/>
      <w:bCs/>
      <w:sz w:val="32"/>
    </w:rPr>
  </w:style>
  <w:style w:type="paragraph" w:styleId="Heading6">
    <w:name w:val="heading 6"/>
    <w:basedOn w:val="Normal"/>
    <w:next w:val="Normal"/>
    <w:qFormat/>
    <w:pPr>
      <w:keepNext/>
      <w:numPr>
        <w:ilvl w:val="5"/>
        <w:numId w:val="17"/>
      </w:numPr>
      <w:outlineLvl w:val="5"/>
    </w:pPr>
    <w:rPr>
      <w:b/>
      <w:bCs/>
    </w:rPr>
  </w:style>
  <w:style w:type="paragraph" w:styleId="Heading7">
    <w:name w:val="heading 7"/>
    <w:basedOn w:val="Normal"/>
    <w:next w:val="Normal"/>
    <w:qFormat/>
    <w:pPr>
      <w:keepNext/>
      <w:numPr>
        <w:ilvl w:val="6"/>
        <w:numId w:val="17"/>
      </w:numPr>
      <w:outlineLvl w:val="6"/>
    </w:pPr>
    <w:rPr>
      <w:rFonts w:cs="Arial"/>
      <w:b/>
      <w:bCs/>
      <w:color w:val="000000"/>
    </w:rPr>
  </w:style>
  <w:style w:type="paragraph" w:styleId="Heading8">
    <w:name w:val="heading 8"/>
    <w:basedOn w:val="Normal"/>
    <w:next w:val="Normal"/>
    <w:qFormat/>
    <w:pPr>
      <w:keepNext/>
      <w:numPr>
        <w:ilvl w:val="7"/>
        <w:numId w:val="17"/>
      </w:numPr>
      <w:outlineLvl w:val="7"/>
    </w:pPr>
    <w:rPr>
      <w:rFonts w:cs="Arial"/>
    </w:rPr>
  </w:style>
  <w:style w:type="paragraph" w:styleId="Heading9">
    <w:name w:val="heading 9"/>
    <w:basedOn w:val="Normal"/>
    <w:next w:val="Normal"/>
    <w:qFormat/>
    <w:pPr>
      <w:keepNext/>
      <w:numPr>
        <w:ilvl w:val="8"/>
        <w:numId w:val="17"/>
      </w:numP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240" w:after="60"/>
      <w:jc w:val="center"/>
    </w:pPr>
    <w:rPr>
      <w:b/>
      <w:kern w:val="28"/>
      <w:sz w:val="32"/>
    </w:rPr>
  </w:style>
  <w:style w:type="paragraph" w:styleId="BodyText">
    <w:name w:val="Body Text"/>
    <w:basedOn w:val="Normal"/>
    <w:semiHidden/>
    <w:pPr>
      <w:jc w:val="center"/>
    </w:pPr>
    <w:rPr>
      <w:b/>
      <w:bCs/>
      <w:sz w:val="32"/>
    </w:rPr>
  </w:style>
  <w:style w:type="paragraph" w:styleId="BodyText2">
    <w:name w:val="Body Text 2"/>
    <w:basedOn w:val="Normal"/>
    <w:semiHidden/>
    <w:rPr>
      <w:rFonts w:cs="Arial"/>
      <w:color w:val="000000"/>
    </w:rPr>
  </w:style>
  <w:style w:type="paragraph" w:styleId="BodyTextIndent">
    <w:name w:val="Body Text Indent"/>
    <w:basedOn w:val="Normal"/>
    <w:semiHidden/>
    <w:pPr>
      <w:ind w:left="720" w:hanging="720"/>
      <w:textAlignment w:val="auto"/>
    </w:pPr>
    <w:rPr>
      <w:rFonts w:cs="Arial"/>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3">
    <w:name w:val="Body Text 3"/>
    <w:basedOn w:val="Normal"/>
    <w:semiHidden/>
    <w:rPr>
      <w:b/>
      <w:bCs/>
      <w:color w:val="FF0000"/>
    </w:rPr>
  </w:style>
  <w:style w:type="paragraph" w:styleId="BodyTextIndent2">
    <w:name w:val="Body Text Indent 2"/>
    <w:basedOn w:val="Normal"/>
    <w:semiHidden/>
    <w:pPr>
      <w:ind w:left="60"/>
    </w:pPr>
    <w:rPr>
      <w:b/>
      <w:bCs/>
      <w:color w:val="FF0000"/>
    </w:rPr>
  </w:style>
  <w:style w:type="paragraph" w:styleId="Caption">
    <w:name w:val="caption"/>
    <w:basedOn w:val="Normal"/>
    <w:next w:val="Normal"/>
    <w:qFormat/>
    <w:rPr>
      <w:rFonts w:cs="Arial"/>
      <w:b/>
      <w:bCs/>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Times New Roman" w:hAnsi="Times New Roman"/>
      <w:sz w:val="24"/>
      <w:szCs w:val="24"/>
      <w:lang w:eastAsia="en-GB"/>
    </w:rPr>
  </w:style>
  <w:style w:type="paragraph" w:styleId="BodyTextIndent3">
    <w:name w:val="Body Text Indent 3"/>
    <w:basedOn w:val="Normal"/>
    <w:semiHidden/>
    <w:pPr>
      <w:ind w:left="399" w:hanging="399"/>
    </w:pPr>
    <w:rPr>
      <w:rFonts w:cs="Arial"/>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B65632"/>
    <w:rPr>
      <w:b/>
      <w:bCs/>
    </w:rPr>
  </w:style>
  <w:style w:type="character" w:customStyle="1" w:styleId="CommentTextChar">
    <w:name w:val="Comment Text Char"/>
    <w:link w:val="CommentText"/>
    <w:semiHidden/>
    <w:rsid w:val="00B65632"/>
    <w:rPr>
      <w:rFonts w:ascii="Arial" w:hAnsi="Arial"/>
      <w:lang w:eastAsia="en-US"/>
    </w:rPr>
  </w:style>
  <w:style w:type="character" w:customStyle="1" w:styleId="CommentSubjectChar">
    <w:name w:val="Comment Subject Char"/>
    <w:link w:val="CommentSubject"/>
    <w:uiPriority w:val="99"/>
    <w:semiHidden/>
    <w:rsid w:val="00B65632"/>
    <w:rPr>
      <w:rFonts w:ascii="Arial" w:hAnsi="Arial"/>
      <w:b/>
      <w:bCs/>
      <w:lang w:eastAsia="en-US"/>
    </w:rPr>
  </w:style>
  <w:style w:type="paragraph" w:styleId="ListParagraph">
    <w:name w:val="List Paragraph"/>
    <w:basedOn w:val="Normal"/>
    <w:uiPriority w:val="34"/>
    <w:qFormat/>
    <w:rsid w:val="00A34E06"/>
    <w:pPr>
      <w:overflowPunct/>
      <w:autoSpaceDE/>
      <w:autoSpaceDN/>
      <w:adjustRightInd/>
      <w:ind w:left="720"/>
      <w:contextualSpacing/>
      <w:textAlignment w:val="auto"/>
    </w:pPr>
    <w:rPr>
      <w:rFonts w:ascii="Times New Roman" w:hAnsi="Times New Roman"/>
      <w:sz w:val="24"/>
      <w:szCs w:val="24"/>
      <w:lang w:eastAsia="en-GB"/>
    </w:rPr>
  </w:style>
  <w:style w:type="paragraph" w:styleId="NoSpacing">
    <w:name w:val="No Spacing"/>
    <w:uiPriority w:val="1"/>
    <w:qFormat/>
    <w:rsid w:val="00FC708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72278">
      <w:bodyDiv w:val="1"/>
      <w:marLeft w:val="0"/>
      <w:marRight w:val="0"/>
      <w:marTop w:val="0"/>
      <w:marBottom w:val="0"/>
      <w:divBdr>
        <w:top w:val="none" w:sz="0" w:space="0" w:color="auto"/>
        <w:left w:val="none" w:sz="0" w:space="0" w:color="auto"/>
        <w:bottom w:val="none" w:sz="0" w:space="0" w:color="auto"/>
        <w:right w:val="none" w:sz="0" w:space="0" w:color="auto"/>
      </w:divBdr>
    </w:div>
    <w:div w:id="350684548">
      <w:bodyDiv w:val="1"/>
      <w:marLeft w:val="0"/>
      <w:marRight w:val="0"/>
      <w:marTop w:val="0"/>
      <w:marBottom w:val="0"/>
      <w:divBdr>
        <w:top w:val="none" w:sz="0" w:space="0" w:color="auto"/>
        <w:left w:val="none" w:sz="0" w:space="0" w:color="auto"/>
        <w:bottom w:val="none" w:sz="0" w:space="0" w:color="auto"/>
        <w:right w:val="none" w:sz="0" w:space="0" w:color="auto"/>
      </w:divBdr>
    </w:div>
    <w:div w:id="789780297">
      <w:bodyDiv w:val="1"/>
      <w:marLeft w:val="0"/>
      <w:marRight w:val="0"/>
      <w:marTop w:val="0"/>
      <w:marBottom w:val="0"/>
      <w:divBdr>
        <w:top w:val="none" w:sz="0" w:space="0" w:color="auto"/>
        <w:left w:val="none" w:sz="0" w:space="0" w:color="auto"/>
        <w:bottom w:val="none" w:sz="0" w:space="0" w:color="auto"/>
        <w:right w:val="none" w:sz="0" w:space="0" w:color="auto"/>
      </w:divBdr>
      <w:divsChild>
        <w:div w:id="2104645526">
          <w:marLeft w:val="547"/>
          <w:marRight w:val="0"/>
          <w:marTop w:val="200"/>
          <w:marBottom w:val="0"/>
          <w:divBdr>
            <w:top w:val="none" w:sz="0" w:space="0" w:color="auto"/>
            <w:left w:val="none" w:sz="0" w:space="0" w:color="auto"/>
            <w:bottom w:val="none" w:sz="0" w:space="0" w:color="auto"/>
            <w:right w:val="none" w:sz="0" w:space="0" w:color="auto"/>
          </w:divBdr>
        </w:div>
      </w:divsChild>
    </w:div>
    <w:div w:id="790593384">
      <w:bodyDiv w:val="1"/>
      <w:marLeft w:val="0"/>
      <w:marRight w:val="0"/>
      <w:marTop w:val="0"/>
      <w:marBottom w:val="0"/>
      <w:divBdr>
        <w:top w:val="none" w:sz="0" w:space="0" w:color="auto"/>
        <w:left w:val="none" w:sz="0" w:space="0" w:color="auto"/>
        <w:bottom w:val="none" w:sz="0" w:space="0" w:color="auto"/>
        <w:right w:val="none" w:sz="0" w:space="0" w:color="auto"/>
      </w:divBdr>
      <w:divsChild>
        <w:div w:id="287976094">
          <w:marLeft w:val="360"/>
          <w:marRight w:val="0"/>
          <w:marTop w:val="200"/>
          <w:marBottom w:val="0"/>
          <w:divBdr>
            <w:top w:val="none" w:sz="0" w:space="0" w:color="auto"/>
            <w:left w:val="none" w:sz="0" w:space="0" w:color="auto"/>
            <w:bottom w:val="none" w:sz="0" w:space="0" w:color="auto"/>
            <w:right w:val="none" w:sz="0" w:space="0" w:color="auto"/>
          </w:divBdr>
        </w:div>
        <w:div w:id="362099590">
          <w:marLeft w:val="360"/>
          <w:marRight w:val="0"/>
          <w:marTop w:val="200"/>
          <w:marBottom w:val="0"/>
          <w:divBdr>
            <w:top w:val="none" w:sz="0" w:space="0" w:color="auto"/>
            <w:left w:val="none" w:sz="0" w:space="0" w:color="auto"/>
            <w:bottom w:val="none" w:sz="0" w:space="0" w:color="auto"/>
            <w:right w:val="none" w:sz="0" w:space="0" w:color="auto"/>
          </w:divBdr>
        </w:div>
      </w:divsChild>
    </w:div>
    <w:div w:id="797988441">
      <w:bodyDiv w:val="1"/>
      <w:marLeft w:val="0"/>
      <w:marRight w:val="0"/>
      <w:marTop w:val="0"/>
      <w:marBottom w:val="0"/>
      <w:divBdr>
        <w:top w:val="none" w:sz="0" w:space="0" w:color="auto"/>
        <w:left w:val="none" w:sz="0" w:space="0" w:color="auto"/>
        <w:bottom w:val="none" w:sz="0" w:space="0" w:color="auto"/>
        <w:right w:val="none" w:sz="0" w:space="0" w:color="auto"/>
      </w:divBdr>
    </w:div>
    <w:div w:id="1114130594">
      <w:bodyDiv w:val="1"/>
      <w:marLeft w:val="0"/>
      <w:marRight w:val="0"/>
      <w:marTop w:val="0"/>
      <w:marBottom w:val="0"/>
      <w:divBdr>
        <w:top w:val="none" w:sz="0" w:space="0" w:color="auto"/>
        <w:left w:val="none" w:sz="0" w:space="0" w:color="auto"/>
        <w:bottom w:val="none" w:sz="0" w:space="0" w:color="auto"/>
        <w:right w:val="none" w:sz="0" w:space="0" w:color="auto"/>
      </w:divBdr>
    </w:div>
    <w:div w:id="1307512198">
      <w:bodyDiv w:val="1"/>
      <w:marLeft w:val="0"/>
      <w:marRight w:val="0"/>
      <w:marTop w:val="0"/>
      <w:marBottom w:val="0"/>
      <w:divBdr>
        <w:top w:val="none" w:sz="0" w:space="0" w:color="auto"/>
        <w:left w:val="none" w:sz="0" w:space="0" w:color="auto"/>
        <w:bottom w:val="none" w:sz="0" w:space="0" w:color="auto"/>
        <w:right w:val="none" w:sz="0" w:space="0" w:color="auto"/>
      </w:divBdr>
    </w:div>
    <w:div w:id="1429500834">
      <w:bodyDiv w:val="1"/>
      <w:marLeft w:val="0"/>
      <w:marRight w:val="0"/>
      <w:marTop w:val="0"/>
      <w:marBottom w:val="0"/>
      <w:divBdr>
        <w:top w:val="none" w:sz="0" w:space="0" w:color="auto"/>
        <w:left w:val="none" w:sz="0" w:space="0" w:color="auto"/>
        <w:bottom w:val="none" w:sz="0" w:space="0" w:color="auto"/>
        <w:right w:val="none" w:sz="0" w:space="0" w:color="auto"/>
      </w:divBdr>
    </w:div>
    <w:div w:id="1562906836">
      <w:bodyDiv w:val="1"/>
      <w:marLeft w:val="0"/>
      <w:marRight w:val="0"/>
      <w:marTop w:val="0"/>
      <w:marBottom w:val="0"/>
      <w:divBdr>
        <w:top w:val="none" w:sz="0" w:space="0" w:color="auto"/>
        <w:left w:val="none" w:sz="0" w:space="0" w:color="auto"/>
        <w:bottom w:val="none" w:sz="0" w:space="0" w:color="auto"/>
        <w:right w:val="none" w:sz="0" w:space="0" w:color="auto"/>
      </w:divBdr>
    </w:div>
    <w:div w:id="1709258525">
      <w:bodyDiv w:val="1"/>
      <w:marLeft w:val="0"/>
      <w:marRight w:val="0"/>
      <w:marTop w:val="0"/>
      <w:marBottom w:val="0"/>
      <w:divBdr>
        <w:top w:val="none" w:sz="0" w:space="0" w:color="auto"/>
        <w:left w:val="none" w:sz="0" w:space="0" w:color="auto"/>
        <w:bottom w:val="none" w:sz="0" w:space="0" w:color="auto"/>
        <w:right w:val="none" w:sz="0" w:space="0" w:color="auto"/>
      </w:divBdr>
      <w:divsChild>
        <w:div w:id="1640762084">
          <w:marLeft w:val="0"/>
          <w:marRight w:val="0"/>
          <w:marTop w:val="0"/>
          <w:marBottom w:val="0"/>
          <w:divBdr>
            <w:top w:val="none" w:sz="0" w:space="0" w:color="auto"/>
            <w:left w:val="none" w:sz="0" w:space="0" w:color="auto"/>
            <w:bottom w:val="none" w:sz="0" w:space="0" w:color="auto"/>
            <w:right w:val="none" w:sz="0" w:space="0" w:color="auto"/>
          </w:divBdr>
          <w:divsChild>
            <w:div w:id="15693210">
              <w:marLeft w:val="0"/>
              <w:marRight w:val="0"/>
              <w:marTop w:val="0"/>
              <w:marBottom w:val="0"/>
              <w:divBdr>
                <w:top w:val="none" w:sz="0" w:space="0" w:color="auto"/>
                <w:left w:val="none" w:sz="0" w:space="0" w:color="auto"/>
                <w:bottom w:val="none" w:sz="0" w:space="0" w:color="auto"/>
                <w:right w:val="none" w:sz="0" w:space="0" w:color="auto"/>
              </w:divBdr>
              <w:divsChild>
                <w:div w:id="635792258">
                  <w:marLeft w:val="0"/>
                  <w:marRight w:val="0"/>
                  <w:marTop w:val="0"/>
                  <w:marBottom w:val="0"/>
                  <w:divBdr>
                    <w:top w:val="none" w:sz="0" w:space="0" w:color="auto"/>
                    <w:left w:val="none" w:sz="0" w:space="0" w:color="auto"/>
                    <w:bottom w:val="none" w:sz="0" w:space="0" w:color="auto"/>
                    <w:right w:val="none" w:sz="0" w:space="0" w:color="auto"/>
                  </w:divBdr>
                </w:div>
              </w:divsChild>
            </w:div>
            <w:div w:id="17239154">
              <w:marLeft w:val="0"/>
              <w:marRight w:val="0"/>
              <w:marTop w:val="0"/>
              <w:marBottom w:val="0"/>
              <w:divBdr>
                <w:top w:val="none" w:sz="0" w:space="0" w:color="auto"/>
                <w:left w:val="none" w:sz="0" w:space="0" w:color="auto"/>
                <w:bottom w:val="none" w:sz="0" w:space="0" w:color="auto"/>
                <w:right w:val="none" w:sz="0" w:space="0" w:color="auto"/>
              </w:divBdr>
              <w:divsChild>
                <w:div w:id="609820467">
                  <w:marLeft w:val="0"/>
                  <w:marRight w:val="0"/>
                  <w:marTop w:val="0"/>
                  <w:marBottom w:val="0"/>
                  <w:divBdr>
                    <w:top w:val="none" w:sz="0" w:space="0" w:color="auto"/>
                    <w:left w:val="none" w:sz="0" w:space="0" w:color="auto"/>
                    <w:bottom w:val="none" w:sz="0" w:space="0" w:color="auto"/>
                    <w:right w:val="none" w:sz="0" w:space="0" w:color="auto"/>
                  </w:divBdr>
                </w:div>
              </w:divsChild>
            </w:div>
            <w:div w:id="25759674">
              <w:marLeft w:val="0"/>
              <w:marRight w:val="0"/>
              <w:marTop w:val="0"/>
              <w:marBottom w:val="0"/>
              <w:divBdr>
                <w:top w:val="none" w:sz="0" w:space="0" w:color="auto"/>
                <w:left w:val="none" w:sz="0" w:space="0" w:color="auto"/>
                <w:bottom w:val="none" w:sz="0" w:space="0" w:color="auto"/>
                <w:right w:val="none" w:sz="0" w:space="0" w:color="auto"/>
              </w:divBdr>
              <w:divsChild>
                <w:div w:id="1860923733">
                  <w:marLeft w:val="0"/>
                  <w:marRight w:val="0"/>
                  <w:marTop w:val="0"/>
                  <w:marBottom w:val="0"/>
                  <w:divBdr>
                    <w:top w:val="none" w:sz="0" w:space="0" w:color="auto"/>
                    <w:left w:val="none" w:sz="0" w:space="0" w:color="auto"/>
                    <w:bottom w:val="none" w:sz="0" w:space="0" w:color="auto"/>
                    <w:right w:val="none" w:sz="0" w:space="0" w:color="auto"/>
                  </w:divBdr>
                </w:div>
              </w:divsChild>
            </w:div>
            <w:div w:id="84620518">
              <w:marLeft w:val="0"/>
              <w:marRight w:val="0"/>
              <w:marTop w:val="0"/>
              <w:marBottom w:val="0"/>
              <w:divBdr>
                <w:top w:val="none" w:sz="0" w:space="0" w:color="auto"/>
                <w:left w:val="none" w:sz="0" w:space="0" w:color="auto"/>
                <w:bottom w:val="none" w:sz="0" w:space="0" w:color="auto"/>
                <w:right w:val="none" w:sz="0" w:space="0" w:color="auto"/>
              </w:divBdr>
              <w:divsChild>
                <w:div w:id="1754819892">
                  <w:marLeft w:val="0"/>
                  <w:marRight w:val="0"/>
                  <w:marTop w:val="0"/>
                  <w:marBottom w:val="0"/>
                  <w:divBdr>
                    <w:top w:val="none" w:sz="0" w:space="0" w:color="auto"/>
                    <w:left w:val="none" w:sz="0" w:space="0" w:color="auto"/>
                    <w:bottom w:val="none" w:sz="0" w:space="0" w:color="auto"/>
                    <w:right w:val="none" w:sz="0" w:space="0" w:color="auto"/>
                  </w:divBdr>
                </w:div>
              </w:divsChild>
            </w:div>
            <w:div w:id="86194000">
              <w:marLeft w:val="0"/>
              <w:marRight w:val="0"/>
              <w:marTop w:val="0"/>
              <w:marBottom w:val="0"/>
              <w:divBdr>
                <w:top w:val="none" w:sz="0" w:space="0" w:color="auto"/>
                <w:left w:val="none" w:sz="0" w:space="0" w:color="auto"/>
                <w:bottom w:val="none" w:sz="0" w:space="0" w:color="auto"/>
                <w:right w:val="none" w:sz="0" w:space="0" w:color="auto"/>
              </w:divBdr>
              <w:divsChild>
                <w:div w:id="174148258">
                  <w:marLeft w:val="0"/>
                  <w:marRight w:val="0"/>
                  <w:marTop w:val="0"/>
                  <w:marBottom w:val="0"/>
                  <w:divBdr>
                    <w:top w:val="none" w:sz="0" w:space="0" w:color="auto"/>
                    <w:left w:val="none" w:sz="0" w:space="0" w:color="auto"/>
                    <w:bottom w:val="none" w:sz="0" w:space="0" w:color="auto"/>
                    <w:right w:val="none" w:sz="0" w:space="0" w:color="auto"/>
                  </w:divBdr>
                </w:div>
                <w:div w:id="377054223">
                  <w:marLeft w:val="0"/>
                  <w:marRight w:val="0"/>
                  <w:marTop w:val="0"/>
                  <w:marBottom w:val="0"/>
                  <w:divBdr>
                    <w:top w:val="none" w:sz="0" w:space="0" w:color="auto"/>
                    <w:left w:val="none" w:sz="0" w:space="0" w:color="auto"/>
                    <w:bottom w:val="none" w:sz="0" w:space="0" w:color="auto"/>
                    <w:right w:val="none" w:sz="0" w:space="0" w:color="auto"/>
                  </w:divBdr>
                </w:div>
                <w:div w:id="764224874">
                  <w:marLeft w:val="0"/>
                  <w:marRight w:val="0"/>
                  <w:marTop w:val="0"/>
                  <w:marBottom w:val="0"/>
                  <w:divBdr>
                    <w:top w:val="none" w:sz="0" w:space="0" w:color="auto"/>
                    <w:left w:val="none" w:sz="0" w:space="0" w:color="auto"/>
                    <w:bottom w:val="none" w:sz="0" w:space="0" w:color="auto"/>
                    <w:right w:val="none" w:sz="0" w:space="0" w:color="auto"/>
                  </w:divBdr>
                </w:div>
                <w:div w:id="1053239678">
                  <w:marLeft w:val="0"/>
                  <w:marRight w:val="0"/>
                  <w:marTop w:val="0"/>
                  <w:marBottom w:val="0"/>
                  <w:divBdr>
                    <w:top w:val="none" w:sz="0" w:space="0" w:color="auto"/>
                    <w:left w:val="none" w:sz="0" w:space="0" w:color="auto"/>
                    <w:bottom w:val="none" w:sz="0" w:space="0" w:color="auto"/>
                    <w:right w:val="none" w:sz="0" w:space="0" w:color="auto"/>
                  </w:divBdr>
                </w:div>
                <w:div w:id="1436900822">
                  <w:marLeft w:val="0"/>
                  <w:marRight w:val="0"/>
                  <w:marTop w:val="0"/>
                  <w:marBottom w:val="0"/>
                  <w:divBdr>
                    <w:top w:val="none" w:sz="0" w:space="0" w:color="auto"/>
                    <w:left w:val="none" w:sz="0" w:space="0" w:color="auto"/>
                    <w:bottom w:val="none" w:sz="0" w:space="0" w:color="auto"/>
                    <w:right w:val="none" w:sz="0" w:space="0" w:color="auto"/>
                  </w:divBdr>
                </w:div>
                <w:div w:id="1446925128">
                  <w:marLeft w:val="0"/>
                  <w:marRight w:val="0"/>
                  <w:marTop w:val="0"/>
                  <w:marBottom w:val="0"/>
                  <w:divBdr>
                    <w:top w:val="none" w:sz="0" w:space="0" w:color="auto"/>
                    <w:left w:val="none" w:sz="0" w:space="0" w:color="auto"/>
                    <w:bottom w:val="none" w:sz="0" w:space="0" w:color="auto"/>
                    <w:right w:val="none" w:sz="0" w:space="0" w:color="auto"/>
                  </w:divBdr>
                </w:div>
                <w:div w:id="1969702070">
                  <w:marLeft w:val="0"/>
                  <w:marRight w:val="0"/>
                  <w:marTop w:val="0"/>
                  <w:marBottom w:val="0"/>
                  <w:divBdr>
                    <w:top w:val="none" w:sz="0" w:space="0" w:color="auto"/>
                    <w:left w:val="none" w:sz="0" w:space="0" w:color="auto"/>
                    <w:bottom w:val="none" w:sz="0" w:space="0" w:color="auto"/>
                    <w:right w:val="none" w:sz="0" w:space="0" w:color="auto"/>
                  </w:divBdr>
                </w:div>
                <w:div w:id="2120101584">
                  <w:marLeft w:val="0"/>
                  <w:marRight w:val="0"/>
                  <w:marTop w:val="0"/>
                  <w:marBottom w:val="0"/>
                  <w:divBdr>
                    <w:top w:val="none" w:sz="0" w:space="0" w:color="auto"/>
                    <w:left w:val="none" w:sz="0" w:space="0" w:color="auto"/>
                    <w:bottom w:val="none" w:sz="0" w:space="0" w:color="auto"/>
                    <w:right w:val="none" w:sz="0" w:space="0" w:color="auto"/>
                  </w:divBdr>
                </w:div>
                <w:div w:id="2123455288">
                  <w:marLeft w:val="0"/>
                  <w:marRight w:val="0"/>
                  <w:marTop w:val="0"/>
                  <w:marBottom w:val="0"/>
                  <w:divBdr>
                    <w:top w:val="none" w:sz="0" w:space="0" w:color="auto"/>
                    <w:left w:val="none" w:sz="0" w:space="0" w:color="auto"/>
                    <w:bottom w:val="none" w:sz="0" w:space="0" w:color="auto"/>
                    <w:right w:val="none" w:sz="0" w:space="0" w:color="auto"/>
                  </w:divBdr>
                </w:div>
              </w:divsChild>
            </w:div>
            <w:div w:id="259611131">
              <w:marLeft w:val="0"/>
              <w:marRight w:val="0"/>
              <w:marTop w:val="0"/>
              <w:marBottom w:val="0"/>
              <w:divBdr>
                <w:top w:val="none" w:sz="0" w:space="0" w:color="auto"/>
                <w:left w:val="none" w:sz="0" w:space="0" w:color="auto"/>
                <w:bottom w:val="none" w:sz="0" w:space="0" w:color="auto"/>
                <w:right w:val="none" w:sz="0" w:space="0" w:color="auto"/>
              </w:divBdr>
              <w:divsChild>
                <w:div w:id="421876055">
                  <w:marLeft w:val="0"/>
                  <w:marRight w:val="0"/>
                  <w:marTop w:val="0"/>
                  <w:marBottom w:val="0"/>
                  <w:divBdr>
                    <w:top w:val="none" w:sz="0" w:space="0" w:color="auto"/>
                    <w:left w:val="none" w:sz="0" w:space="0" w:color="auto"/>
                    <w:bottom w:val="none" w:sz="0" w:space="0" w:color="auto"/>
                    <w:right w:val="none" w:sz="0" w:space="0" w:color="auto"/>
                  </w:divBdr>
                </w:div>
              </w:divsChild>
            </w:div>
            <w:div w:id="377440259">
              <w:marLeft w:val="0"/>
              <w:marRight w:val="0"/>
              <w:marTop w:val="0"/>
              <w:marBottom w:val="0"/>
              <w:divBdr>
                <w:top w:val="none" w:sz="0" w:space="0" w:color="auto"/>
                <w:left w:val="none" w:sz="0" w:space="0" w:color="auto"/>
                <w:bottom w:val="none" w:sz="0" w:space="0" w:color="auto"/>
                <w:right w:val="none" w:sz="0" w:space="0" w:color="auto"/>
              </w:divBdr>
              <w:divsChild>
                <w:div w:id="1253977328">
                  <w:marLeft w:val="0"/>
                  <w:marRight w:val="0"/>
                  <w:marTop w:val="0"/>
                  <w:marBottom w:val="0"/>
                  <w:divBdr>
                    <w:top w:val="none" w:sz="0" w:space="0" w:color="auto"/>
                    <w:left w:val="none" w:sz="0" w:space="0" w:color="auto"/>
                    <w:bottom w:val="none" w:sz="0" w:space="0" w:color="auto"/>
                    <w:right w:val="none" w:sz="0" w:space="0" w:color="auto"/>
                  </w:divBdr>
                </w:div>
              </w:divsChild>
            </w:div>
            <w:div w:id="454908136">
              <w:marLeft w:val="0"/>
              <w:marRight w:val="0"/>
              <w:marTop w:val="0"/>
              <w:marBottom w:val="0"/>
              <w:divBdr>
                <w:top w:val="none" w:sz="0" w:space="0" w:color="auto"/>
                <w:left w:val="none" w:sz="0" w:space="0" w:color="auto"/>
                <w:bottom w:val="none" w:sz="0" w:space="0" w:color="auto"/>
                <w:right w:val="none" w:sz="0" w:space="0" w:color="auto"/>
              </w:divBdr>
              <w:divsChild>
                <w:div w:id="787165855">
                  <w:marLeft w:val="0"/>
                  <w:marRight w:val="0"/>
                  <w:marTop w:val="0"/>
                  <w:marBottom w:val="0"/>
                  <w:divBdr>
                    <w:top w:val="none" w:sz="0" w:space="0" w:color="auto"/>
                    <w:left w:val="none" w:sz="0" w:space="0" w:color="auto"/>
                    <w:bottom w:val="none" w:sz="0" w:space="0" w:color="auto"/>
                    <w:right w:val="none" w:sz="0" w:space="0" w:color="auto"/>
                  </w:divBdr>
                </w:div>
              </w:divsChild>
            </w:div>
            <w:div w:id="515660688">
              <w:marLeft w:val="0"/>
              <w:marRight w:val="0"/>
              <w:marTop w:val="0"/>
              <w:marBottom w:val="0"/>
              <w:divBdr>
                <w:top w:val="none" w:sz="0" w:space="0" w:color="auto"/>
                <w:left w:val="none" w:sz="0" w:space="0" w:color="auto"/>
                <w:bottom w:val="none" w:sz="0" w:space="0" w:color="auto"/>
                <w:right w:val="none" w:sz="0" w:space="0" w:color="auto"/>
              </w:divBdr>
              <w:divsChild>
                <w:div w:id="862982690">
                  <w:marLeft w:val="0"/>
                  <w:marRight w:val="0"/>
                  <w:marTop w:val="0"/>
                  <w:marBottom w:val="0"/>
                  <w:divBdr>
                    <w:top w:val="none" w:sz="0" w:space="0" w:color="auto"/>
                    <w:left w:val="none" w:sz="0" w:space="0" w:color="auto"/>
                    <w:bottom w:val="none" w:sz="0" w:space="0" w:color="auto"/>
                    <w:right w:val="none" w:sz="0" w:space="0" w:color="auto"/>
                  </w:divBdr>
                </w:div>
              </w:divsChild>
            </w:div>
            <w:div w:id="741567019">
              <w:marLeft w:val="0"/>
              <w:marRight w:val="0"/>
              <w:marTop w:val="0"/>
              <w:marBottom w:val="0"/>
              <w:divBdr>
                <w:top w:val="none" w:sz="0" w:space="0" w:color="auto"/>
                <w:left w:val="none" w:sz="0" w:space="0" w:color="auto"/>
                <w:bottom w:val="none" w:sz="0" w:space="0" w:color="auto"/>
                <w:right w:val="none" w:sz="0" w:space="0" w:color="auto"/>
              </w:divBdr>
              <w:divsChild>
                <w:div w:id="754857459">
                  <w:marLeft w:val="0"/>
                  <w:marRight w:val="0"/>
                  <w:marTop w:val="0"/>
                  <w:marBottom w:val="0"/>
                  <w:divBdr>
                    <w:top w:val="none" w:sz="0" w:space="0" w:color="auto"/>
                    <w:left w:val="none" w:sz="0" w:space="0" w:color="auto"/>
                    <w:bottom w:val="none" w:sz="0" w:space="0" w:color="auto"/>
                    <w:right w:val="none" w:sz="0" w:space="0" w:color="auto"/>
                  </w:divBdr>
                </w:div>
                <w:div w:id="825781897">
                  <w:marLeft w:val="0"/>
                  <w:marRight w:val="0"/>
                  <w:marTop w:val="0"/>
                  <w:marBottom w:val="0"/>
                  <w:divBdr>
                    <w:top w:val="none" w:sz="0" w:space="0" w:color="auto"/>
                    <w:left w:val="none" w:sz="0" w:space="0" w:color="auto"/>
                    <w:bottom w:val="none" w:sz="0" w:space="0" w:color="auto"/>
                    <w:right w:val="none" w:sz="0" w:space="0" w:color="auto"/>
                  </w:divBdr>
                </w:div>
                <w:div w:id="1125391555">
                  <w:marLeft w:val="0"/>
                  <w:marRight w:val="0"/>
                  <w:marTop w:val="0"/>
                  <w:marBottom w:val="0"/>
                  <w:divBdr>
                    <w:top w:val="none" w:sz="0" w:space="0" w:color="auto"/>
                    <w:left w:val="none" w:sz="0" w:space="0" w:color="auto"/>
                    <w:bottom w:val="none" w:sz="0" w:space="0" w:color="auto"/>
                    <w:right w:val="none" w:sz="0" w:space="0" w:color="auto"/>
                  </w:divBdr>
                </w:div>
                <w:div w:id="1224372240">
                  <w:marLeft w:val="0"/>
                  <w:marRight w:val="0"/>
                  <w:marTop w:val="0"/>
                  <w:marBottom w:val="0"/>
                  <w:divBdr>
                    <w:top w:val="none" w:sz="0" w:space="0" w:color="auto"/>
                    <w:left w:val="none" w:sz="0" w:space="0" w:color="auto"/>
                    <w:bottom w:val="none" w:sz="0" w:space="0" w:color="auto"/>
                    <w:right w:val="none" w:sz="0" w:space="0" w:color="auto"/>
                  </w:divBdr>
                </w:div>
                <w:div w:id="1491484047">
                  <w:marLeft w:val="0"/>
                  <w:marRight w:val="0"/>
                  <w:marTop w:val="0"/>
                  <w:marBottom w:val="0"/>
                  <w:divBdr>
                    <w:top w:val="none" w:sz="0" w:space="0" w:color="auto"/>
                    <w:left w:val="none" w:sz="0" w:space="0" w:color="auto"/>
                    <w:bottom w:val="none" w:sz="0" w:space="0" w:color="auto"/>
                    <w:right w:val="none" w:sz="0" w:space="0" w:color="auto"/>
                  </w:divBdr>
                </w:div>
                <w:div w:id="2024166237">
                  <w:marLeft w:val="0"/>
                  <w:marRight w:val="0"/>
                  <w:marTop w:val="0"/>
                  <w:marBottom w:val="0"/>
                  <w:divBdr>
                    <w:top w:val="none" w:sz="0" w:space="0" w:color="auto"/>
                    <w:left w:val="none" w:sz="0" w:space="0" w:color="auto"/>
                    <w:bottom w:val="none" w:sz="0" w:space="0" w:color="auto"/>
                    <w:right w:val="none" w:sz="0" w:space="0" w:color="auto"/>
                  </w:divBdr>
                </w:div>
              </w:divsChild>
            </w:div>
            <w:div w:id="783038623">
              <w:marLeft w:val="0"/>
              <w:marRight w:val="0"/>
              <w:marTop w:val="0"/>
              <w:marBottom w:val="0"/>
              <w:divBdr>
                <w:top w:val="none" w:sz="0" w:space="0" w:color="auto"/>
                <w:left w:val="none" w:sz="0" w:space="0" w:color="auto"/>
                <w:bottom w:val="none" w:sz="0" w:space="0" w:color="auto"/>
                <w:right w:val="none" w:sz="0" w:space="0" w:color="auto"/>
              </w:divBdr>
              <w:divsChild>
                <w:div w:id="1174537501">
                  <w:marLeft w:val="0"/>
                  <w:marRight w:val="0"/>
                  <w:marTop w:val="0"/>
                  <w:marBottom w:val="0"/>
                  <w:divBdr>
                    <w:top w:val="none" w:sz="0" w:space="0" w:color="auto"/>
                    <w:left w:val="none" w:sz="0" w:space="0" w:color="auto"/>
                    <w:bottom w:val="none" w:sz="0" w:space="0" w:color="auto"/>
                    <w:right w:val="none" w:sz="0" w:space="0" w:color="auto"/>
                  </w:divBdr>
                </w:div>
              </w:divsChild>
            </w:div>
            <w:div w:id="792141791">
              <w:marLeft w:val="0"/>
              <w:marRight w:val="0"/>
              <w:marTop w:val="0"/>
              <w:marBottom w:val="0"/>
              <w:divBdr>
                <w:top w:val="none" w:sz="0" w:space="0" w:color="auto"/>
                <w:left w:val="none" w:sz="0" w:space="0" w:color="auto"/>
                <w:bottom w:val="none" w:sz="0" w:space="0" w:color="auto"/>
                <w:right w:val="none" w:sz="0" w:space="0" w:color="auto"/>
              </w:divBdr>
              <w:divsChild>
                <w:div w:id="393745329">
                  <w:marLeft w:val="0"/>
                  <w:marRight w:val="0"/>
                  <w:marTop w:val="0"/>
                  <w:marBottom w:val="0"/>
                  <w:divBdr>
                    <w:top w:val="none" w:sz="0" w:space="0" w:color="auto"/>
                    <w:left w:val="none" w:sz="0" w:space="0" w:color="auto"/>
                    <w:bottom w:val="none" w:sz="0" w:space="0" w:color="auto"/>
                    <w:right w:val="none" w:sz="0" w:space="0" w:color="auto"/>
                  </w:divBdr>
                </w:div>
                <w:div w:id="1161001965">
                  <w:marLeft w:val="0"/>
                  <w:marRight w:val="0"/>
                  <w:marTop w:val="0"/>
                  <w:marBottom w:val="0"/>
                  <w:divBdr>
                    <w:top w:val="none" w:sz="0" w:space="0" w:color="auto"/>
                    <w:left w:val="none" w:sz="0" w:space="0" w:color="auto"/>
                    <w:bottom w:val="none" w:sz="0" w:space="0" w:color="auto"/>
                    <w:right w:val="none" w:sz="0" w:space="0" w:color="auto"/>
                  </w:divBdr>
                </w:div>
                <w:div w:id="1368145053">
                  <w:marLeft w:val="0"/>
                  <w:marRight w:val="0"/>
                  <w:marTop w:val="0"/>
                  <w:marBottom w:val="0"/>
                  <w:divBdr>
                    <w:top w:val="none" w:sz="0" w:space="0" w:color="auto"/>
                    <w:left w:val="none" w:sz="0" w:space="0" w:color="auto"/>
                    <w:bottom w:val="none" w:sz="0" w:space="0" w:color="auto"/>
                    <w:right w:val="none" w:sz="0" w:space="0" w:color="auto"/>
                  </w:divBdr>
                </w:div>
                <w:div w:id="1471094074">
                  <w:marLeft w:val="0"/>
                  <w:marRight w:val="0"/>
                  <w:marTop w:val="0"/>
                  <w:marBottom w:val="0"/>
                  <w:divBdr>
                    <w:top w:val="none" w:sz="0" w:space="0" w:color="auto"/>
                    <w:left w:val="none" w:sz="0" w:space="0" w:color="auto"/>
                    <w:bottom w:val="none" w:sz="0" w:space="0" w:color="auto"/>
                    <w:right w:val="none" w:sz="0" w:space="0" w:color="auto"/>
                  </w:divBdr>
                </w:div>
                <w:div w:id="1800220072">
                  <w:marLeft w:val="0"/>
                  <w:marRight w:val="0"/>
                  <w:marTop w:val="0"/>
                  <w:marBottom w:val="0"/>
                  <w:divBdr>
                    <w:top w:val="none" w:sz="0" w:space="0" w:color="auto"/>
                    <w:left w:val="none" w:sz="0" w:space="0" w:color="auto"/>
                    <w:bottom w:val="none" w:sz="0" w:space="0" w:color="auto"/>
                    <w:right w:val="none" w:sz="0" w:space="0" w:color="auto"/>
                  </w:divBdr>
                </w:div>
                <w:div w:id="2130203505">
                  <w:marLeft w:val="0"/>
                  <w:marRight w:val="0"/>
                  <w:marTop w:val="0"/>
                  <w:marBottom w:val="0"/>
                  <w:divBdr>
                    <w:top w:val="none" w:sz="0" w:space="0" w:color="auto"/>
                    <w:left w:val="none" w:sz="0" w:space="0" w:color="auto"/>
                    <w:bottom w:val="none" w:sz="0" w:space="0" w:color="auto"/>
                    <w:right w:val="none" w:sz="0" w:space="0" w:color="auto"/>
                  </w:divBdr>
                </w:div>
              </w:divsChild>
            </w:div>
            <w:div w:id="1056316450">
              <w:marLeft w:val="0"/>
              <w:marRight w:val="0"/>
              <w:marTop w:val="0"/>
              <w:marBottom w:val="0"/>
              <w:divBdr>
                <w:top w:val="none" w:sz="0" w:space="0" w:color="auto"/>
                <w:left w:val="none" w:sz="0" w:space="0" w:color="auto"/>
                <w:bottom w:val="none" w:sz="0" w:space="0" w:color="auto"/>
                <w:right w:val="none" w:sz="0" w:space="0" w:color="auto"/>
              </w:divBdr>
              <w:divsChild>
                <w:div w:id="579751486">
                  <w:marLeft w:val="0"/>
                  <w:marRight w:val="0"/>
                  <w:marTop w:val="0"/>
                  <w:marBottom w:val="0"/>
                  <w:divBdr>
                    <w:top w:val="none" w:sz="0" w:space="0" w:color="auto"/>
                    <w:left w:val="none" w:sz="0" w:space="0" w:color="auto"/>
                    <w:bottom w:val="none" w:sz="0" w:space="0" w:color="auto"/>
                    <w:right w:val="none" w:sz="0" w:space="0" w:color="auto"/>
                  </w:divBdr>
                </w:div>
              </w:divsChild>
            </w:div>
            <w:div w:id="1106651918">
              <w:marLeft w:val="0"/>
              <w:marRight w:val="0"/>
              <w:marTop w:val="0"/>
              <w:marBottom w:val="0"/>
              <w:divBdr>
                <w:top w:val="none" w:sz="0" w:space="0" w:color="auto"/>
                <w:left w:val="none" w:sz="0" w:space="0" w:color="auto"/>
                <w:bottom w:val="none" w:sz="0" w:space="0" w:color="auto"/>
                <w:right w:val="none" w:sz="0" w:space="0" w:color="auto"/>
              </w:divBdr>
              <w:divsChild>
                <w:div w:id="1503622017">
                  <w:marLeft w:val="0"/>
                  <w:marRight w:val="0"/>
                  <w:marTop w:val="0"/>
                  <w:marBottom w:val="0"/>
                  <w:divBdr>
                    <w:top w:val="none" w:sz="0" w:space="0" w:color="auto"/>
                    <w:left w:val="none" w:sz="0" w:space="0" w:color="auto"/>
                    <w:bottom w:val="none" w:sz="0" w:space="0" w:color="auto"/>
                    <w:right w:val="none" w:sz="0" w:space="0" w:color="auto"/>
                  </w:divBdr>
                </w:div>
              </w:divsChild>
            </w:div>
            <w:div w:id="1201431478">
              <w:marLeft w:val="0"/>
              <w:marRight w:val="0"/>
              <w:marTop w:val="0"/>
              <w:marBottom w:val="0"/>
              <w:divBdr>
                <w:top w:val="none" w:sz="0" w:space="0" w:color="auto"/>
                <w:left w:val="none" w:sz="0" w:space="0" w:color="auto"/>
                <w:bottom w:val="none" w:sz="0" w:space="0" w:color="auto"/>
                <w:right w:val="none" w:sz="0" w:space="0" w:color="auto"/>
              </w:divBdr>
              <w:divsChild>
                <w:div w:id="2027555332">
                  <w:marLeft w:val="0"/>
                  <w:marRight w:val="0"/>
                  <w:marTop w:val="0"/>
                  <w:marBottom w:val="0"/>
                  <w:divBdr>
                    <w:top w:val="none" w:sz="0" w:space="0" w:color="auto"/>
                    <w:left w:val="none" w:sz="0" w:space="0" w:color="auto"/>
                    <w:bottom w:val="none" w:sz="0" w:space="0" w:color="auto"/>
                    <w:right w:val="none" w:sz="0" w:space="0" w:color="auto"/>
                  </w:divBdr>
                </w:div>
              </w:divsChild>
            </w:div>
            <w:div w:id="1254778873">
              <w:marLeft w:val="0"/>
              <w:marRight w:val="0"/>
              <w:marTop w:val="0"/>
              <w:marBottom w:val="0"/>
              <w:divBdr>
                <w:top w:val="none" w:sz="0" w:space="0" w:color="auto"/>
                <w:left w:val="none" w:sz="0" w:space="0" w:color="auto"/>
                <w:bottom w:val="none" w:sz="0" w:space="0" w:color="auto"/>
                <w:right w:val="none" w:sz="0" w:space="0" w:color="auto"/>
              </w:divBdr>
              <w:divsChild>
                <w:div w:id="1958366439">
                  <w:marLeft w:val="0"/>
                  <w:marRight w:val="0"/>
                  <w:marTop w:val="0"/>
                  <w:marBottom w:val="0"/>
                  <w:divBdr>
                    <w:top w:val="none" w:sz="0" w:space="0" w:color="auto"/>
                    <w:left w:val="none" w:sz="0" w:space="0" w:color="auto"/>
                    <w:bottom w:val="none" w:sz="0" w:space="0" w:color="auto"/>
                    <w:right w:val="none" w:sz="0" w:space="0" w:color="auto"/>
                  </w:divBdr>
                </w:div>
              </w:divsChild>
            </w:div>
            <w:div w:id="1325280717">
              <w:marLeft w:val="0"/>
              <w:marRight w:val="0"/>
              <w:marTop w:val="0"/>
              <w:marBottom w:val="0"/>
              <w:divBdr>
                <w:top w:val="none" w:sz="0" w:space="0" w:color="auto"/>
                <w:left w:val="none" w:sz="0" w:space="0" w:color="auto"/>
                <w:bottom w:val="none" w:sz="0" w:space="0" w:color="auto"/>
                <w:right w:val="none" w:sz="0" w:space="0" w:color="auto"/>
              </w:divBdr>
              <w:divsChild>
                <w:div w:id="379670619">
                  <w:marLeft w:val="0"/>
                  <w:marRight w:val="0"/>
                  <w:marTop w:val="0"/>
                  <w:marBottom w:val="0"/>
                  <w:divBdr>
                    <w:top w:val="none" w:sz="0" w:space="0" w:color="auto"/>
                    <w:left w:val="none" w:sz="0" w:space="0" w:color="auto"/>
                    <w:bottom w:val="none" w:sz="0" w:space="0" w:color="auto"/>
                    <w:right w:val="none" w:sz="0" w:space="0" w:color="auto"/>
                  </w:divBdr>
                </w:div>
              </w:divsChild>
            </w:div>
            <w:div w:id="1377006906">
              <w:marLeft w:val="0"/>
              <w:marRight w:val="0"/>
              <w:marTop w:val="0"/>
              <w:marBottom w:val="0"/>
              <w:divBdr>
                <w:top w:val="none" w:sz="0" w:space="0" w:color="auto"/>
                <w:left w:val="none" w:sz="0" w:space="0" w:color="auto"/>
                <w:bottom w:val="none" w:sz="0" w:space="0" w:color="auto"/>
                <w:right w:val="none" w:sz="0" w:space="0" w:color="auto"/>
              </w:divBdr>
              <w:divsChild>
                <w:div w:id="1658605395">
                  <w:marLeft w:val="0"/>
                  <w:marRight w:val="0"/>
                  <w:marTop w:val="0"/>
                  <w:marBottom w:val="0"/>
                  <w:divBdr>
                    <w:top w:val="none" w:sz="0" w:space="0" w:color="auto"/>
                    <w:left w:val="none" w:sz="0" w:space="0" w:color="auto"/>
                    <w:bottom w:val="none" w:sz="0" w:space="0" w:color="auto"/>
                    <w:right w:val="none" w:sz="0" w:space="0" w:color="auto"/>
                  </w:divBdr>
                </w:div>
              </w:divsChild>
            </w:div>
            <w:div w:id="1429961593">
              <w:marLeft w:val="0"/>
              <w:marRight w:val="0"/>
              <w:marTop w:val="0"/>
              <w:marBottom w:val="0"/>
              <w:divBdr>
                <w:top w:val="none" w:sz="0" w:space="0" w:color="auto"/>
                <w:left w:val="none" w:sz="0" w:space="0" w:color="auto"/>
                <w:bottom w:val="none" w:sz="0" w:space="0" w:color="auto"/>
                <w:right w:val="none" w:sz="0" w:space="0" w:color="auto"/>
              </w:divBdr>
              <w:divsChild>
                <w:div w:id="1766071273">
                  <w:marLeft w:val="0"/>
                  <w:marRight w:val="0"/>
                  <w:marTop w:val="0"/>
                  <w:marBottom w:val="0"/>
                  <w:divBdr>
                    <w:top w:val="none" w:sz="0" w:space="0" w:color="auto"/>
                    <w:left w:val="none" w:sz="0" w:space="0" w:color="auto"/>
                    <w:bottom w:val="none" w:sz="0" w:space="0" w:color="auto"/>
                    <w:right w:val="none" w:sz="0" w:space="0" w:color="auto"/>
                  </w:divBdr>
                </w:div>
              </w:divsChild>
            </w:div>
            <w:div w:id="1454128234">
              <w:marLeft w:val="0"/>
              <w:marRight w:val="0"/>
              <w:marTop w:val="0"/>
              <w:marBottom w:val="0"/>
              <w:divBdr>
                <w:top w:val="none" w:sz="0" w:space="0" w:color="auto"/>
                <w:left w:val="none" w:sz="0" w:space="0" w:color="auto"/>
                <w:bottom w:val="none" w:sz="0" w:space="0" w:color="auto"/>
                <w:right w:val="none" w:sz="0" w:space="0" w:color="auto"/>
              </w:divBdr>
              <w:divsChild>
                <w:div w:id="648554364">
                  <w:marLeft w:val="0"/>
                  <w:marRight w:val="0"/>
                  <w:marTop w:val="0"/>
                  <w:marBottom w:val="0"/>
                  <w:divBdr>
                    <w:top w:val="none" w:sz="0" w:space="0" w:color="auto"/>
                    <w:left w:val="none" w:sz="0" w:space="0" w:color="auto"/>
                    <w:bottom w:val="none" w:sz="0" w:space="0" w:color="auto"/>
                    <w:right w:val="none" w:sz="0" w:space="0" w:color="auto"/>
                  </w:divBdr>
                </w:div>
              </w:divsChild>
            </w:div>
            <w:div w:id="1533498887">
              <w:marLeft w:val="0"/>
              <w:marRight w:val="0"/>
              <w:marTop w:val="0"/>
              <w:marBottom w:val="0"/>
              <w:divBdr>
                <w:top w:val="none" w:sz="0" w:space="0" w:color="auto"/>
                <w:left w:val="none" w:sz="0" w:space="0" w:color="auto"/>
                <w:bottom w:val="none" w:sz="0" w:space="0" w:color="auto"/>
                <w:right w:val="none" w:sz="0" w:space="0" w:color="auto"/>
              </w:divBdr>
              <w:divsChild>
                <w:div w:id="842167316">
                  <w:marLeft w:val="0"/>
                  <w:marRight w:val="0"/>
                  <w:marTop w:val="0"/>
                  <w:marBottom w:val="0"/>
                  <w:divBdr>
                    <w:top w:val="none" w:sz="0" w:space="0" w:color="auto"/>
                    <w:left w:val="none" w:sz="0" w:space="0" w:color="auto"/>
                    <w:bottom w:val="none" w:sz="0" w:space="0" w:color="auto"/>
                    <w:right w:val="none" w:sz="0" w:space="0" w:color="auto"/>
                  </w:divBdr>
                </w:div>
              </w:divsChild>
            </w:div>
            <w:div w:id="1565024493">
              <w:marLeft w:val="0"/>
              <w:marRight w:val="0"/>
              <w:marTop w:val="0"/>
              <w:marBottom w:val="0"/>
              <w:divBdr>
                <w:top w:val="none" w:sz="0" w:space="0" w:color="auto"/>
                <w:left w:val="none" w:sz="0" w:space="0" w:color="auto"/>
                <w:bottom w:val="none" w:sz="0" w:space="0" w:color="auto"/>
                <w:right w:val="none" w:sz="0" w:space="0" w:color="auto"/>
              </w:divBdr>
              <w:divsChild>
                <w:div w:id="658654826">
                  <w:marLeft w:val="0"/>
                  <w:marRight w:val="0"/>
                  <w:marTop w:val="0"/>
                  <w:marBottom w:val="0"/>
                  <w:divBdr>
                    <w:top w:val="none" w:sz="0" w:space="0" w:color="auto"/>
                    <w:left w:val="none" w:sz="0" w:space="0" w:color="auto"/>
                    <w:bottom w:val="none" w:sz="0" w:space="0" w:color="auto"/>
                    <w:right w:val="none" w:sz="0" w:space="0" w:color="auto"/>
                  </w:divBdr>
                </w:div>
              </w:divsChild>
            </w:div>
            <w:div w:id="1610115918">
              <w:marLeft w:val="0"/>
              <w:marRight w:val="0"/>
              <w:marTop w:val="0"/>
              <w:marBottom w:val="0"/>
              <w:divBdr>
                <w:top w:val="none" w:sz="0" w:space="0" w:color="auto"/>
                <w:left w:val="none" w:sz="0" w:space="0" w:color="auto"/>
                <w:bottom w:val="none" w:sz="0" w:space="0" w:color="auto"/>
                <w:right w:val="none" w:sz="0" w:space="0" w:color="auto"/>
              </w:divBdr>
              <w:divsChild>
                <w:div w:id="1252471303">
                  <w:marLeft w:val="0"/>
                  <w:marRight w:val="0"/>
                  <w:marTop w:val="0"/>
                  <w:marBottom w:val="0"/>
                  <w:divBdr>
                    <w:top w:val="none" w:sz="0" w:space="0" w:color="auto"/>
                    <w:left w:val="none" w:sz="0" w:space="0" w:color="auto"/>
                    <w:bottom w:val="none" w:sz="0" w:space="0" w:color="auto"/>
                    <w:right w:val="none" w:sz="0" w:space="0" w:color="auto"/>
                  </w:divBdr>
                </w:div>
              </w:divsChild>
            </w:div>
            <w:div w:id="1610551001">
              <w:marLeft w:val="0"/>
              <w:marRight w:val="0"/>
              <w:marTop w:val="0"/>
              <w:marBottom w:val="0"/>
              <w:divBdr>
                <w:top w:val="none" w:sz="0" w:space="0" w:color="auto"/>
                <w:left w:val="none" w:sz="0" w:space="0" w:color="auto"/>
                <w:bottom w:val="none" w:sz="0" w:space="0" w:color="auto"/>
                <w:right w:val="none" w:sz="0" w:space="0" w:color="auto"/>
              </w:divBdr>
              <w:divsChild>
                <w:div w:id="734008200">
                  <w:marLeft w:val="0"/>
                  <w:marRight w:val="0"/>
                  <w:marTop w:val="0"/>
                  <w:marBottom w:val="0"/>
                  <w:divBdr>
                    <w:top w:val="none" w:sz="0" w:space="0" w:color="auto"/>
                    <w:left w:val="none" w:sz="0" w:space="0" w:color="auto"/>
                    <w:bottom w:val="none" w:sz="0" w:space="0" w:color="auto"/>
                    <w:right w:val="none" w:sz="0" w:space="0" w:color="auto"/>
                  </w:divBdr>
                </w:div>
              </w:divsChild>
            </w:div>
            <w:div w:id="1683507678">
              <w:marLeft w:val="0"/>
              <w:marRight w:val="0"/>
              <w:marTop w:val="0"/>
              <w:marBottom w:val="0"/>
              <w:divBdr>
                <w:top w:val="none" w:sz="0" w:space="0" w:color="auto"/>
                <w:left w:val="none" w:sz="0" w:space="0" w:color="auto"/>
                <w:bottom w:val="none" w:sz="0" w:space="0" w:color="auto"/>
                <w:right w:val="none" w:sz="0" w:space="0" w:color="auto"/>
              </w:divBdr>
              <w:divsChild>
                <w:div w:id="640621746">
                  <w:marLeft w:val="0"/>
                  <w:marRight w:val="0"/>
                  <w:marTop w:val="0"/>
                  <w:marBottom w:val="0"/>
                  <w:divBdr>
                    <w:top w:val="none" w:sz="0" w:space="0" w:color="auto"/>
                    <w:left w:val="none" w:sz="0" w:space="0" w:color="auto"/>
                    <w:bottom w:val="none" w:sz="0" w:space="0" w:color="auto"/>
                    <w:right w:val="none" w:sz="0" w:space="0" w:color="auto"/>
                  </w:divBdr>
                </w:div>
                <w:div w:id="694236355">
                  <w:marLeft w:val="0"/>
                  <w:marRight w:val="0"/>
                  <w:marTop w:val="0"/>
                  <w:marBottom w:val="0"/>
                  <w:divBdr>
                    <w:top w:val="none" w:sz="0" w:space="0" w:color="auto"/>
                    <w:left w:val="none" w:sz="0" w:space="0" w:color="auto"/>
                    <w:bottom w:val="none" w:sz="0" w:space="0" w:color="auto"/>
                    <w:right w:val="none" w:sz="0" w:space="0" w:color="auto"/>
                  </w:divBdr>
                </w:div>
                <w:div w:id="760685611">
                  <w:marLeft w:val="0"/>
                  <w:marRight w:val="0"/>
                  <w:marTop w:val="0"/>
                  <w:marBottom w:val="0"/>
                  <w:divBdr>
                    <w:top w:val="none" w:sz="0" w:space="0" w:color="auto"/>
                    <w:left w:val="none" w:sz="0" w:space="0" w:color="auto"/>
                    <w:bottom w:val="none" w:sz="0" w:space="0" w:color="auto"/>
                    <w:right w:val="none" w:sz="0" w:space="0" w:color="auto"/>
                  </w:divBdr>
                </w:div>
              </w:divsChild>
            </w:div>
            <w:div w:id="1715811393">
              <w:marLeft w:val="0"/>
              <w:marRight w:val="0"/>
              <w:marTop w:val="0"/>
              <w:marBottom w:val="0"/>
              <w:divBdr>
                <w:top w:val="none" w:sz="0" w:space="0" w:color="auto"/>
                <w:left w:val="none" w:sz="0" w:space="0" w:color="auto"/>
                <w:bottom w:val="none" w:sz="0" w:space="0" w:color="auto"/>
                <w:right w:val="none" w:sz="0" w:space="0" w:color="auto"/>
              </w:divBdr>
              <w:divsChild>
                <w:div w:id="405765782">
                  <w:marLeft w:val="0"/>
                  <w:marRight w:val="0"/>
                  <w:marTop w:val="0"/>
                  <w:marBottom w:val="0"/>
                  <w:divBdr>
                    <w:top w:val="none" w:sz="0" w:space="0" w:color="auto"/>
                    <w:left w:val="none" w:sz="0" w:space="0" w:color="auto"/>
                    <w:bottom w:val="none" w:sz="0" w:space="0" w:color="auto"/>
                    <w:right w:val="none" w:sz="0" w:space="0" w:color="auto"/>
                  </w:divBdr>
                </w:div>
              </w:divsChild>
            </w:div>
            <w:div w:id="1771585458">
              <w:marLeft w:val="0"/>
              <w:marRight w:val="0"/>
              <w:marTop w:val="0"/>
              <w:marBottom w:val="0"/>
              <w:divBdr>
                <w:top w:val="none" w:sz="0" w:space="0" w:color="auto"/>
                <w:left w:val="none" w:sz="0" w:space="0" w:color="auto"/>
                <w:bottom w:val="none" w:sz="0" w:space="0" w:color="auto"/>
                <w:right w:val="none" w:sz="0" w:space="0" w:color="auto"/>
              </w:divBdr>
              <w:divsChild>
                <w:div w:id="405997077">
                  <w:marLeft w:val="0"/>
                  <w:marRight w:val="0"/>
                  <w:marTop w:val="0"/>
                  <w:marBottom w:val="0"/>
                  <w:divBdr>
                    <w:top w:val="none" w:sz="0" w:space="0" w:color="auto"/>
                    <w:left w:val="none" w:sz="0" w:space="0" w:color="auto"/>
                    <w:bottom w:val="none" w:sz="0" w:space="0" w:color="auto"/>
                    <w:right w:val="none" w:sz="0" w:space="0" w:color="auto"/>
                  </w:divBdr>
                </w:div>
                <w:div w:id="952516391">
                  <w:marLeft w:val="0"/>
                  <w:marRight w:val="0"/>
                  <w:marTop w:val="0"/>
                  <w:marBottom w:val="0"/>
                  <w:divBdr>
                    <w:top w:val="none" w:sz="0" w:space="0" w:color="auto"/>
                    <w:left w:val="none" w:sz="0" w:space="0" w:color="auto"/>
                    <w:bottom w:val="none" w:sz="0" w:space="0" w:color="auto"/>
                    <w:right w:val="none" w:sz="0" w:space="0" w:color="auto"/>
                  </w:divBdr>
                </w:div>
                <w:div w:id="953486095">
                  <w:marLeft w:val="0"/>
                  <w:marRight w:val="0"/>
                  <w:marTop w:val="0"/>
                  <w:marBottom w:val="0"/>
                  <w:divBdr>
                    <w:top w:val="none" w:sz="0" w:space="0" w:color="auto"/>
                    <w:left w:val="none" w:sz="0" w:space="0" w:color="auto"/>
                    <w:bottom w:val="none" w:sz="0" w:space="0" w:color="auto"/>
                    <w:right w:val="none" w:sz="0" w:space="0" w:color="auto"/>
                  </w:divBdr>
                </w:div>
                <w:div w:id="1313871151">
                  <w:marLeft w:val="0"/>
                  <w:marRight w:val="0"/>
                  <w:marTop w:val="0"/>
                  <w:marBottom w:val="0"/>
                  <w:divBdr>
                    <w:top w:val="none" w:sz="0" w:space="0" w:color="auto"/>
                    <w:left w:val="none" w:sz="0" w:space="0" w:color="auto"/>
                    <w:bottom w:val="none" w:sz="0" w:space="0" w:color="auto"/>
                    <w:right w:val="none" w:sz="0" w:space="0" w:color="auto"/>
                  </w:divBdr>
                </w:div>
                <w:div w:id="1582640996">
                  <w:marLeft w:val="0"/>
                  <w:marRight w:val="0"/>
                  <w:marTop w:val="0"/>
                  <w:marBottom w:val="0"/>
                  <w:divBdr>
                    <w:top w:val="none" w:sz="0" w:space="0" w:color="auto"/>
                    <w:left w:val="none" w:sz="0" w:space="0" w:color="auto"/>
                    <w:bottom w:val="none" w:sz="0" w:space="0" w:color="auto"/>
                    <w:right w:val="none" w:sz="0" w:space="0" w:color="auto"/>
                  </w:divBdr>
                </w:div>
                <w:div w:id="1722634832">
                  <w:marLeft w:val="0"/>
                  <w:marRight w:val="0"/>
                  <w:marTop w:val="0"/>
                  <w:marBottom w:val="0"/>
                  <w:divBdr>
                    <w:top w:val="none" w:sz="0" w:space="0" w:color="auto"/>
                    <w:left w:val="none" w:sz="0" w:space="0" w:color="auto"/>
                    <w:bottom w:val="none" w:sz="0" w:space="0" w:color="auto"/>
                    <w:right w:val="none" w:sz="0" w:space="0" w:color="auto"/>
                  </w:divBdr>
                </w:div>
              </w:divsChild>
            </w:div>
            <w:div w:id="1821730455">
              <w:marLeft w:val="0"/>
              <w:marRight w:val="0"/>
              <w:marTop w:val="0"/>
              <w:marBottom w:val="0"/>
              <w:divBdr>
                <w:top w:val="none" w:sz="0" w:space="0" w:color="auto"/>
                <w:left w:val="none" w:sz="0" w:space="0" w:color="auto"/>
                <w:bottom w:val="none" w:sz="0" w:space="0" w:color="auto"/>
                <w:right w:val="none" w:sz="0" w:space="0" w:color="auto"/>
              </w:divBdr>
              <w:divsChild>
                <w:div w:id="53965174">
                  <w:marLeft w:val="0"/>
                  <w:marRight w:val="0"/>
                  <w:marTop w:val="0"/>
                  <w:marBottom w:val="0"/>
                  <w:divBdr>
                    <w:top w:val="none" w:sz="0" w:space="0" w:color="auto"/>
                    <w:left w:val="none" w:sz="0" w:space="0" w:color="auto"/>
                    <w:bottom w:val="none" w:sz="0" w:space="0" w:color="auto"/>
                    <w:right w:val="none" w:sz="0" w:space="0" w:color="auto"/>
                  </w:divBdr>
                </w:div>
              </w:divsChild>
            </w:div>
            <w:div w:id="1843662884">
              <w:marLeft w:val="0"/>
              <w:marRight w:val="0"/>
              <w:marTop w:val="0"/>
              <w:marBottom w:val="0"/>
              <w:divBdr>
                <w:top w:val="none" w:sz="0" w:space="0" w:color="auto"/>
                <w:left w:val="none" w:sz="0" w:space="0" w:color="auto"/>
                <w:bottom w:val="none" w:sz="0" w:space="0" w:color="auto"/>
                <w:right w:val="none" w:sz="0" w:space="0" w:color="auto"/>
              </w:divBdr>
              <w:divsChild>
                <w:div w:id="18822812">
                  <w:marLeft w:val="0"/>
                  <w:marRight w:val="0"/>
                  <w:marTop w:val="0"/>
                  <w:marBottom w:val="0"/>
                  <w:divBdr>
                    <w:top w:val="none" w:sz="0" w:space="0" w:color="auto"/>
                    <w:left w:val="none" w:sz="0" w:space="0" w:color="auto"/>
                    <w:bottom w:val="none" w:sz="0" w:space="0" w:color="auto"/>
                    <w:right w:val="none" w:sz="0" w:space="0" w:color="auto"/>
                  </w:divBdr>
                </w:div>
                <w:div w:id="348606025">
                  <w:marLeft w:val="0"/>
                  <w:marRight w:val="0"/>
                  <w:marTop w:val="0"/>
                  <w:marBottom w:val="0"/>
                  <w:divBdr>
                    <w:top w:val="none" w:sz="0" w:space="0" w:color="auto"/>
                    <w:left w:val="none" w:sz="0" w:space="0" w:color="auto"/>
                    <w:bottom w:val="none" w:sz="0" w:space="0" w:color="auto"/>
                    <w:right w:val="none" w:sz="0" w:space="0" w:color="auto"/>
                  </w:divBdr>
                </w:div>
                <w:div w:id="401219212">
                  <w:marLeft w:val="0"/>
                  <w:marRight w:val="0"/>
                  <w:marTop w:val="0"/>
                  <w:marBottom w:val="0"/>
                  <w:divBdr>
                    <w:top w:val="none" w:sz="0" w:space="0" w:color="auto"/>
                    <w:left w:val="none" w:sz="0" w:space="0" w:color="auto"/>
                    <w:bottom w:val="none" w:sz="0" w:space="0" w:color="auto"/>
                    <w:right w:val="none" w:sz="0" w:space="0" w:color="auto"/>
                  </w:divBdr>
                </w:div>
                <w:div w:id="865993979">
                  <w:marLeft w:val="0"/>
                  <w:marRight w:val="0"/>
                  <w:marTop w:val="0"/>
                  <w:marBottom w:val="0"/>
                  <w:divBdr>
                    <w:top w:val="none" w:sz="0" w:space="0" w:color="auto"/>
                    <w:left w:val="none" w:sz="0" w:space="0" w:color="auto"/>
                    <w:bottom w:val="none" w:sz="0" w:space="0" w:color="auto"/>
                    <w:right w:val="none" w:sz="0" w:space="0" w:color="auto"/>
                  </w:divBdr>
                </w:div>
                <w:div w:id="1714422521">
                  <w:marLeft w:val="0"/>
                  <w:marRight w:val="0"/>
                  <w:marTop w:val="0"/>
                  <w:marBottom w:val="0"/>
                  <w:divBdr>
                    <w:top w:val="none" w:sz="0" w:space="0" w:color="auto"/>
                    <w:left w:val="none" w:sz="0" w:space="0" w:color="auto"/>
                    <w:bottom w:val="none" w:sz="0" w:space="0" w:color="auto"/>
                    <w:right w:val="none" w:sz="0" w:space="0" w:color="auto"/>
                  </w:divBdr>
                </w:div>
                <w:div w:id="2032679938">
                  <w:marLeft w:val="0"/>
                  <w:marRight w:val="0"/>
                  <w:marTop w:val="0"/>
                  <w:marBottom w:val="0"/>
                  <w:divBdr>
                    <w:top w:val="none" w:sz="0" w:space="0" w:color="auto"/>
                    <w:left w:val="none" w:sz="0" w:space="0" w:color="auto"/>
                    <w:bottom w:val="none" w:sz="0" w:space="0" w:color="auto"/>
                    <w:right w:val="none" w:sz="0" w:space="0" w:color="auto"/>
                  </w:divBdr>
                </w:div>
              </w:divsChild>
            </w:div>
            <w:div w:id="1848979072">
              <w:marLeft w:val="0"/>
              <w:marRight w:val="0"/>
              <w:marTop w:val="0"/>
              <w:marBottom w:val="0"/>
              <w:divBdr>
                <w:top w:val="none" w:sz="0" w:space="0" w:color="auto"/>
                <w:left w:val="none" w:sz="0" w:space="0" w:color="auto"/>
                <w:bottom w:val="none" w:sz="0" w:space="0" w:color="auto"/>
                <w:right w:val="none" w:sz="0" w:space="0" w:color="auto"/>
              </w:divBdr>
              <w:divsChild>
                <w:div w:id="1067606699">
                  <w:marLeft w:val="0"/>
                  <w:marRight w:val="0"/>
                  <w:marTop w:val="0"/>
                  <w:marBottom w:val="0"/>
                  <w:divBdr>
                    <w:top w:val="none" w:sz="0" w:space="0" w:color="auto"/>
                    <w:left w:val="none" w:sz="0" w:space="0" w:color="auto"/>
                    <w:bottom w:val="none" w:sz="0" w:space="0" w:color="auto"/>
                    <w:right w:val="none" w:sz="0" w:space="0" w:color="auto"/>
                  </w:divBdr>
                </w:div>
              </w:divsChild>
            </w:div>
            <w:div w:id="1901474732">
              <w:marLeft w:val="0"/>
              <w:marRight w:val="0"/>
              <w:marTop w:val="0"/>
              <w:marBottom w:val="0"/>
              <w:divBdr>
                <w:top w:val="none" w:sz="0" w:space="0" w:color="auto"/>
                <w:left w:val="none" w:sz="0" w:space="0" w:color="auto"/>
                <w:bottom w:val="none" w:sz="0" w:space="0" w:color="auto"/>
                <w:right w:val="none" w:sz="0" w:space="0" w:color="auto"/>
              </w:divBdr>
              <w:divsChild>
                <w:div w:id="1865702770">
                  <w:marLeft w:val="0"/>
                  <w:marRight w:val="0"/>
                  <w:marTop w:val="0"/>
                  <w:marBottom w:val="0"/>
                  <w:divBdr>
                    <w:top w:val="none" w:sz="0" w:space="0" w:color="auto"/>
                    <w:left w:val="none" w:sz="0" w:space="0" w:color="auto"/>
                    <w:bottom w:val="none" w:sz="0" w:space="0" w:color="auto"/>
                    <w:right w:val="none" w:sz="0" w:space="0" w:color="auto"/>
                  </w:divBdr>
                </w:div>
              </w:divsChild>
            </w:div>
            <w:div w:id="1995062237">
              <w:marLeft w:val="0"/>
              <w:marRight w:val="0"/>
              <w:marTop w:val="0"/>
              <w:marBottom w:val="0"/>
              <w:divBdr>
                <w:top w:val="none" w:sz="0" w:space="0" w:color="auto"/>
                <w:left w:val="none" w:sz="0" w:space="0" w:color="auto"/>
                <w:bottom w:val="none" w:sz="0" w:space="0" w:color="auto"/>
                <w:right w:val="none" w:sz="0" w:space="0" w:color="auto"/>
              </w:divBdr>
              <w:divsChild>
                <w:div w:id="2051157">
                  <w:marLeft w:val="0"/>
                  <w:marRight w:val="0"/>
                  <w:marTop w:val="0"/>
                  <w:marBottom w:val="0"/>
                  <w:divBdr>
                    <w:top w:val="none" w:sz="0" w:space="0" w:color="auto"/>
                    <w:left w:val="none" w:sz="0" w:space="0" w:color="auto"/>
                    <w:bottom w:val="none" w:sz="0" w:space="0" w:color="auto"/>
                    <w:right w:val="none" w:sz="0" w:space="0" w:color="auto"/>
                  </w:divBdr>
                </w:div>
                <w:div w:id="187958776">
                  <w:marLeft w:val="0"/>
                  <w:marRight w:val="0"/>
                  <w:marTop w:val="0"/>
                  <w:marBottom w:val="0"/>
                  <w:divBdr>
                    <w:top w:val="none" w:sz="0" w:space="0" w:color="auto"/>
                    <w:left w:val="none" w:sz="0" w:space="0" w:color="auto"/>
                    <w:bottom w:val="none" w:sz="0" w:space="0" w:color="auto"/>
                    <w:right w:val="none" w:sz="0" w:space="0" w:color="auto"/>
                  </w:divBdr>
                </w:div>
                <w:div w:id="1035813930">
                  <w:marLeft w:val="0"/>
                  <w:marRight w:val="0"/>
                  <w:marTop w:val="0"/>
                  <w:marBottom w:val="0"/>
                  <w:divBdr>
                    <w:top w:val="none" w:sz="0" w:space="0" w:color="auto"/>
                    <w:left w:val="none" w:sz="0" w:space="0" w:color="auto"/>
                    <w:bottom w:val="none" w:sz="0" w:space="0" w:color="auto"/>
                    <w:right w:val="none" w:sz="0" w:space="0" w:color="auto"/>
                  </w:divBdr>
                </w:div>
                <w:div w:id="1249928110">
                  <w:marLeft w:val="0"/>
                  <w:marRight w:val="0"/>
                  <w:marTop w:val="0"/>
                  <w:marBottom w:val="0"/>
                  <w:divBdr>
                    <w:top w:val="none" w:sz="0" w:space="0" w:color="auto"/>
                    <w:left w:val="none" w:sz="0" w:space="0" w:color="auto"/>
                    <w:bottom w:val="none" w:sz="0" w:space="0" w:color="auto"/>
                    <w:right w:val="none" w:sz="0" w:space="0" w:color="auto"/>
                  </w:divBdr>
                </w:div>
                <w:div w:id="1853958110">
                  <w:marLeft w:val="0"/>
                  <w:marRight w:val="0"/>
                  <w:marTop w:val="0"/>
                  <w:marBottom w:val="0"/>
                  <w:divBdr>
                    <w:top w:val="none" w:sz="0" w:space="0" w:color="auto"/>
                    <w:left w:val="none" w:sz="0" w:space="0" w:color="auto"/>
                    <w:bottom w:val="none" w:sz="0" w:space="0" w:color="auto"/>
                    <w:right w:val="none" w:sz="0" w:space="0" w:color="auto"/>
                  </w:divBdr>
                </w:div>
              </w:divsChild>
            </w:div>
            <w:div w:id="2083093152">
              <w:marLeft w:val="0"/>
              <w:marRight w:val="0"/>
              <w:marTop w:val="0"/>
              <w:marBottom w:val="0"/>
              <w:divBdr>
                <w:top w:val="none" w:sz="0" w:space="0" w:color="auto"/>
                <w:left w:val="none" w:sz="0" w:space="0" w:color="auto"/>
                <w:bottom w:val="none" w:sz="0" w:space="0" w:color="auto"/>
                <w:right w:val="none" w:sz="0" w:space="0" w:color="auto"/>
              </w:divBdr>
              <w:divsChild>
                <w:div w:id="394813853">
                  <w:marLeft w:val="0"/>
                  <w:marRight w:val="0"/>
                  <w:marTop w:val="0"/>
                  <w:marBottom w:val="0"/>
                  <w:divBdr>
                    <w:top w:val="none" w:sz="0" w:space="0" w:color="auto"/>
                    <w:left w:val="none" w:sz="0" w:space="0" w:color="auto"/>
                    <w:bottom w:val="none" w:sz="0" w:space="0" w:color="auto"/>
                    <w:right w:val="none" w:sz="0" w:space="0" w:color="auto"/>
                  </w:divBdr>
                </w:div>
                <w:div w:id="1237478308">
                  <w:marLeft w:val="0"/>
                  <w:marRight w:val="0"/>
                  <w:marTop w:val="0"/>
                  <w:marBottom w:val="0"/>
                  <w:divBdr>
                    <w:top w:val="none" w:sz="0" w:space="0" w:color="auto"/>
                    <w:left w:val="none" w:sz="0" w:space="0" w:color="auto"/>
                    <w:bottom w:val="none" w:sz="0" w:space="0" w:color="auto"/>
                    <w:right w:val="none" w:sz="0" w:space="0" w:color="auto"/>
                  </w:divBdr>
                </w:div>
                <w:div w:id="209650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642673">
      <w:bodyDiv w:val="1"/>
      <w:marLeft w:val="0"/>
      <w:marRight w:val="0"/>
      <w:marTop w:val="0"/>
      <w:marBottom w:val="0"/>
      <w:divBdr>
        <w:top w:val="none" w:sz="0" w:space="0" w:color="auto"/>
        <w:left w:val="none" w:sz="0" w:space="0" w:color="auto"/>
        <w:bottom w:val="none" w:sz="0" w:space="0" w:color="auto"/>
        <w:right w:val="none" w:sz="0" w:space="0" w:color="auto"/>
      </w:divBdr>
      <w:divsChild>
        <w:div w:id="1679652291">
          <w:marLeft w:val="360"/>
          <w:marRight w:val="0"/>
          <w:marTop w:val="200"/>
          <w:marBottom w:val="0"/>
          <w:divBdr>
            <w:top w:val="none" w:sz="0" w:space="0" w:color="auto"/>
            <w:left w:val="none" w:sz="0" w:space="0" w:color="auto"/>
            <w:bottom w:val="none" w:sz="0" w:space="0" w:color="auto"/>
            <w:right w:val="none" w:sz="0" w:space="0" w:color="auto"/>
          </w:divBdr>
        </w:div>
      </w:divsChild>
    </w:div>
    <w:div w:id="1820924346">
      <w:bodyDiv w:val="1"/>
      <w:marLeft w:val="0"/>
      <w:marRight w:val="0"/>
      <w:marTop w:val="0"/>
      <w:marBottom w:val="0"/>
      <w:divBdr>
        <w:top w:val="none" w:sz="0" w:space="0" w:color="auto"/>
        <w:left w:val="none" w:sz="0" w:space="0" w:color="auto"/>
        <w:bottom w:val="none" w:sz="0" w:space="0" w:color="auto"/>
        <w:right w:val="none" w:sz="0" w:space="0" w:color="auto"/>
      </w:divBdr>
      <w:divsChild>
        <w:div w:id="1653023476">
          <w:marLeft w:val="547"/>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83954fa-2a65-4d57-99ac-c02654c3af93" ContentTypeId="0x010100E7BD6A8A66F7CB4BBA2B02F0531791BE" PreviousValue="false"/>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County Council</AuthorityType>
    <ReferenceYear xmlns="07a766d4-cf60-4260-9f49-242aaa07e1bd">2022</ReferenceYear>
    <Retention_x0020_Date xmlns="07a766d4-cf60-4260-9f49-242aaa07e1bd" xsi:nil="true"/>
    <lcf76f155ced4ddcb4097134ff3c332f xmlns="50c99a36-a2cb-4f82-b0db-85cac3f96973">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Surrey</TermName>
          <TermId xmlns="http://schemas.microsoft.com/office/infopath/2007/PartnerControls">1ede93f2-1e01-46cf-8fdc-b03c954bb2bc</TermId>
        </TermInfo>
      </Terms>
    </d08e702f979e48d3863205ea645082c2>
    <TaxCatchAll xmlns="07a766d4-cf60-4260-9f49-242aaa07e1bd">
      <Value>286</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8E1B448797E44546BD38FC754698F8DE" ma:contentTypeVersion="11" ma:contentTypeDescription="Parent Document Content Type for all review documents" ma:contentTypeScope="" ma:versionID="37f17235976706864cc6c2d05608bd63">
  <xsd:schema xmlns:xsd="http://www.w3.org/2001/XMLSchema" xmlns:xs="http://www.w3.org/2001/XMLSchema" xmlns:p="http://schemas.microsoft.com/office/2006/metadata/properties" xmlns:ns1="http://schemas.microsoft.com/sharepoint/v3" xmlns:ns2="07a766d4-cf60-4260-9f49-242aaa07e1bd" xmlns:ns3="d23c6157-5623-4293-b83e-785d6ba7de2d" xmlns:ns4="50c99a36-a2cb-4f82-b0db-85cac3f96973" targetNamespace="http://schemas.microsoft.com/office/2006/metadata/properties" ma:root="true" ma:fieldsID="1e86aec101aac268a225120993b3e8e2" ns1:_="" ns2:_="" ns3:_="" ns4:_="">
    <xsd:import namespace="http://schemas.microsoft.com/sharepoint/v3"/>
    <xsd:import namespace="07a766d4-cf60-4260-9f49-242aaa07e1bd"/>
    <xsd:import namespace="d23c6157-5623-4293-b83e-785d6ba7de2d"/>
    <xsd:import namespace="50c99a36-a2cb-4f82-b0db-85cac3f9697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50c99a36-a2cb-4f82-b0db-85cac3f9697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DateTaken" ma:index="33" nillable="true" ma:displayName="MediaServiceDateTaken" ma:hidden="true" ma:indexed="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6F6804-8D46-4212-9CC1-BFA1C369D1AE}">
  <ds:schemaRefs>
    <ds:schemaRef ds:uri="Microsoft.SharePoint.Taxonomy.ContentTypeSync"/>
  </ds:schemaRefs>
</ds:datastoreItem>
</file>

<file path=customXml/itemProps2.xml><?xml version="1.0" encoding="utf-8"?>
<ds:datastoreItem xmlns:ds="http://schemas.openxmlformats.org/officeDocument/2006/customXml" ds:itemID="{30BBFD1A-8567-465C-9C54-EE581B8281A8}">
  <ds:schemaRefs>
    <ds:schemaRef ds:uri="http://schemas.microsoft.com/sharepoint/events"/>
    <ds:schemaRef ds:uri="http://www.w3.org/2000/xmlns/"/>
  </ds:schemaRefs>
</ds:datastoreItem>
</file>

<file path=customXml/itemProps3.xml><?xml version="1.0" encoding="utf-8"?>
<ds:datastoreItem xmlns:ds="http://schemas.openxmlformats.org/officeDocument/2006/customXml" ds:itemID="{BF12B733-3E2B-4323-AE00-CE0C73FC8288}">
  <ds:schemaRefs>
    <ds:schemaRef ds:uri="http://schemas.microsoft.com/office/2006/metadata/properties"/>
    <ds:schemaRef ds:uri="http://www.w3.org/2000/xmlns/"/>
    <ds:schemaRef ds:uri="07a766d4-cf60-4260-9f49-242aaa07e1bd"/>
    <ds:schemaRef ds:uri="d23c6157-5623-4293-b83e-785d6ba7de2d"/>
    <ds:schemaRef ds:uri="http://www.w3.org/2001/XMLSchema-instance"/>
    <ds:schemaRef ds:uri="50c99a36-a2cb-4f82-b0db-85cac3f96973"/>
    <ds:schemaRef ds:uri="http://schemas.microsoft.com/office/infopath/2007/PartnerControls"/>
  </ds:schemaRefs>
</ds:datastoreItem>
</file>

<file path=customXml/itemProps4.xml><?xml version="1.0" encoding="utf-8"?>
<ds:datastoreItem xmlns:ds="http://schemas.openxmlformats.org/officeDocument/2006/customXml" ds:itemID="{E33C7949-B6E3-4219-8694-F58C3312811E}">
  <ds:schemaRefs>
    <ds:schemaRef ds:uri="http://schemas.microsoft.com/sharepoint/v3/contenttype/forms"/>
  </ds:schemaRefs>
</ds:datastoreItem>
</file>

<file path=customXml/itemProps5.xml><?xml version="1.0" encoding="utf-8"?>
<ds:datastoreItem xmlns:ds="http://schemas.openxmlformats.org/officeDocument/2006/customXml" ds:itemID="{12DAFF92-AA4F-4348-8820-25DF9BEEB91F}">
  <ds:schemaRefs>
    <ds:schemaRef ds:uri="office.server.policy"/>
    <ds:schemaRef ds:uri="http://www.w3.org/2000/xmlns/"/>
  </ds:schemaRefs>
</ds:datastoreItem>
</file>

<file path=customXml/itemProps6.xml><?xml version="1.0" encoding="utf-8"?>
<ds:datastoreItem xmlns:ds="http://schemas.openxmlformats.org/officeDocument/2006/customXml" ds:itemID="{19F5EADE-4445-4658-AF96-F6A2BEA4ACD2}">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07a766d4-cf60-4260-9f49-242aaa07e1bd"/>
    <ds:schemaRef ds:uri="d23c6157-5623-4293-b83e-785d6ba7de2d"/>
    <ds:schemaRef ds:uri="50c99a36-a2cb-4f82-b0db-85cac3f96973"/>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Pages>
  <Words>12416</Words>
  <Characters>70772</Characters>
  <Application>Microsoft Office Word</Application>
  <DocSecurity>4</DocSecurity>
  <Lines>589</Lines>
  <Paragraphs>166</Paragraphs>
  <ScaleCrop>false</ScaleCrop>
  <Company>Surrey County Council</Company>
  <LinksUpToDate>false</LinksUpToDate>
  <CharactersWithSpaces>83022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Council Size – written submission (deadline 22 november)</dc:title>
  <dc:subject/>
  <dc:creator>RachelC</dc:creator>
  <cp:keywords/>
  <dc:description/>
  <cp:lastModifiedBy>Treacy, Liz</cp:lastModifiedBy>
  <cp:revision>193</cp:revision>
  <cp:lastPrinted>2010-11-19T09:51:00Z</cp:lastPrinted>
  <dcterms:created xsi:type="dcterms:W3CDTF">2023-04-25T02:43:00Z</dcterms:created>
  <dcterms:modified xsi:type="dcterms:W3CDTF">2023-05-22T01:22:00Z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0x010100E7BD6A8A66F7CB4BBA2B02F0531791BE0026A9A75CCCA16F4693F1FE45F71519DE008E1B448797E44546BD38FC754698F8DE</vt:lpwstr>
  </property>
  <property fmtid="{D5CDD505-2E9C-101B-9397-08002B2CF9AE}" pid="3" name="AuthorityName">
    <vt:lpwstr>286;#Surrey|1ede93f2-1e01-46cf-8fdc-b03c954bb2bc</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MediaServiceImageTags">
    <vt:lpwstr/>
  </property>
</Properties>
</file>